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11" w:rsidRPr="004A2611" w:rsidRDefault="00845B11" w:rsidP="00845B11"/>
    <w:p w:rsidR="00845B11" w:rsidRPr="00440BC2" w:rsidRDefault="00845B11" w:rsidP="00845B11">
      <w:pPr>
        <w:ind w:left="4253"/>
        <w:jc w:val="both"/>
        <w:rPr>
          <w:sz w:val="22"/>
          <w:szCs w:val="22"/>
        </w:rPr>
      </w:pPr>
    </w:p>
    <w:p w:rsidR="00845B11" w:rsidRDefault="00845B11" w:rsidP="00845B11">
      <w:pPr>
        <w:pStyle w:val="BodyTextIndent"/>
        <w:widowControl/>
        <w:ind w:left="0"/>
        <w:jc w:val="both"/>
        <w:rPr>
          <w:sz w:val="22"/>
          <w:szCs w:val="22"/>
        </w:rPr>
      </w:pPr>
      <w:bookmarkStart w:id="0" w:name="_DV_M2"/>
      <w:bookmarkEnd w:id="0"/>
      <w:r>
        <w:rPr>
          <w:sz w:val="22"/>
          <w:szCs w:val="22"/>
        </w:rPr>
        <w:t>THIS DOCUMENT IS IMPORTANT AND REQUIRES YOUR IMMEDIATE ATTENTION.</w:t>
      </w:r>
    </w:p>
    <w:p w:rsidR="00845B11" w:rsidRDefault="00845B11" w:rsidP="00845B11">
      <w:pPr>
        <w:pStyle w:val="BodyTextIndent"/>
        <w:widowControl/>
        <w:ind w:left="0"/>
        <w:jc w:val="both"/>
        <w:rPr>
          <w:sz w:val="22"/>
          <w:szCs w:val="22"/>
        </w:rPr>
      </w:pPr>
      <w:r>
        <w:rPr>
          <w:sz w:val="22"/>
          <w:szCs w:val="22"/>
        </w:rPr>
        <w:t>IF IN DOUBT, PLEASE SEEK PROFESSIONAL ADVICE</w:t>
      </w:r>
    </w:p>
    <w:p w:rsidR="00845B11" w:rsidRDefault="00845B11" w:rsidP="00845B11">
      <w:pPr>
        <w:jc w:val="both"/>
        <w:rPr>
          <w:sz w:val="22"/>
          <w:szCs w:val="22"/>
        </w:rPr>
      </w:pPr>
    </w:p>
    <w:p w:rsidR="00845B11" w:rsidRDefault="00845B11" w:rsidP="00845B11">
      <w:pPr>
        <w:ind w:left="7920"/>
        <w:jc w:val="both"/>
        <w:rPr>
          <w:sz w:val="22"/>
          <w:szCs w:val="22"/>
        </w:rPr>
      </w:pPr>
      <w:bookmarkStart w:id="1" w:name="_DV_M3"/>
      <w:bookmarkEnd w:id="1"/>
      <w:r w:rsidRPr="008635F3">
        <w:rPr>
          <w:sz w:val="22"/>
          <w:szCs w:val="22"/>
        </w:rPr>
        <w:t>2</w:t>
      </w:r>
      <w:r w:rsidR="007706B6" w:rsidRPr="008635F3">
        <w:rPr>
          <w:sz w:val="22"/>
          <w:szCs w:val="22"/>
        </w:rPr>
        <w:t>8</w:t>
      </w:r>
      <w:r w:rsidRPr="008635F3">
        <w:rPr>
          <w:sz w:val="22"/>
          <w:szCs w:val="22"/>
        </w:rPr>
        <w:t xml:space="preserve"> January </w:t>
      </w:r>
      <w:r>
        <w:rPr>
          <w:sz w:val="22"/>
          <w:szCs w:val="22"/>
        </w:rPr>
        <w:t>2015</w:t>
      </w:r>
    </w:p>
    <w:p w:rsidR="00845B11" w:rsidRDefault="00845B11" w:rsidP="00845B11">
      <w:pPr>
        <w:jc w:val="both"/>
        <w:rPr>
          <w:sz w:val="22"/>
          <w:szCs w:val="22"/>
        </w:rPr>
      </w:pPr>
    </w:p>
    <w:p w:rsidR="00845B11" w:rsidRDefault="00845B11" w:rsidP="00845B11">
      <w:pPr>
        <w:jc w:val="both"/>
        <w:rPr>
          <w:sz w:val="22"/>
          <w:szCs w:val="22"/>
        </w:rPr>
      </w:pPr>
    </w:p>
    <w:p w:rsidR="00845B11" w:rsidRDefault="00845B11" w:rsidP="00845B11">
      <w:pPr>
        <w:jc w:val="both"/>
        <w:rPr>
          <w:sz w:val="22"/>
          <w:szCs w:val="22"/>
        </w:rPr>
      </w:pPr>
    </w:p>
    <w:p w:rsidR="00845B11" w:rsidRDefault="00845B11" w:rsidP="00845B11">
      <w:pPr>
        <w:jc w:val="both"/>
        <w:rPr>
          <w:sz w:val="22"/>
          <w:szCs w:val="22"/>
        </w:rPr>
      </w:pPr>
      <w:r>
        <w:rPr>
          <w:sz w:val="22"/>
          <w:szCs w:val="22"/>
        </w:rPr>
        <w:t>Dear Shareholder,</w:t>
      </w:r>
    </w:p>
    <w:p w:rsidR="00845B11" w:rsidRDefault="00845B11" w:rsidP="00845B11">
      <w:pPr>
        <w:jc w:val="both"/>
        <w:rPr>
          <w:sz w:val="22"/>
          <w:szCs w:val="22"/>
        </w:rPr>
      </w:pPr>
    </w:p>
    <w:p w:rsidR="00845B11" w:rsidRPr="007B0CB2" w:rsidRDefault="00845B11" w:rsidP="00845B11">
      <w:pPr>
        <w:pStyle w:val="Heading4"/>
        <w:keepNext w:val="0"/>
        <w:widowControl/>
        <w:rPr>
          <w:u w:val="single"/>
        </w:rPr>
      </w:pPr>
      <w:bookmarkStart w:id="2" w:name="_DV_M4"/>
      <w:bookmarkEnd w:id="2"/>
      <w:r w:rsidRPr="007B0CB2">
        <w:rPr>
          <w:u w:val="single"/>
        </w:rPr>
        <w:t>ABERDEEN GLOBAL</w:t>
      </w:r>
      <w:r>
        <w:rPr>
          <w:u w:val="single"/>
        </w:rPr>
        <w:t xml:space="preserve"> II</w:t>
      </w:r>
    </w:p>
    <w:p w:rsidR="00845B11" w:rsidRDefault="00845B11" w:rsidP="00845B11">
      <w:pPr>
        <w:pStyle w:val="BodyTextIndent2"/>
        <w:widowControl/>
        <w:ind w:left="0"/>
        <w:jc w:val="both"/>
        <w:rPr>
          <w:i w:val="0"/>
          <w:iCs w:val="0"/>
          <w:sz w:val="22"/>
          <w:szCs w:val="22"/>
        </w:rPr>
      </w:pPr>
    </w:p>
    <w:p w:rsidR="00845B11" w:rsidRDefault="00845B11" w:rsidP="00845B11">
      <w:pPr>
        <w:pStyle w:val="BodyTextIndent2"/>
        <w:widowControl/>
        <w:ind w:left="0"/>
        <w:jc w:val="both"/>
        <w:rPr>
          <w:i w:val="0"/>
          <w:iCs w:val="0"/>
          <w:sz w:val="22"/>
          <w:szCs w:val="22"/>
        </w:rPr>
      </w:pPr>
      <w:bookmarkStart w:id="3" w:name="_DV_M5"/>
      <w:bookmarkStart w:id="4" w:name="_DV_M6"/>
      <w:bookmarkStart w:id="5" w:name="_DV_M18"/>
      <w:bookmarkEnd w:id="3"/>
      <w:bookmarkEnd w:id="4"/>
      <w:bookmarkEnd w:id="5"/>
      <w:r>
        <w:rPr>
          <w:i w:val="0"/>
          <w:iCs w:val="0"/>
          <w:sz w:val="22"/>
          <w:szCs w:val="22"/>
        </w:rPr>
        <w:t>Your Board of Directors has decided to make changes to Aberdeen Global II. The principal proposed changes are detailed in this letter. The Aberdeen Global II Prospectus and relevant Key Investor Information Documents have also been updated accordingly.</w:t>
      </w:r>
    </w:p>
    <w:p w:rsidR="00845B11" w:rsidRDefault="00845B11" w:rsidP="00845B11">
      <w:pPr>
        <w:pStyle w:val="BodyTextIndent2"/>
        <w:widowControl/>
        <w:ind w:left="0"/>
        <w:jc w:val="both"/>
        <w:rPr>
          <w:bCs/>
          <w:i w:val="0"/>
          <w:iCs w:val="0"/>
          <w:sz w:val="22"/>
          <w:szCs w:val="22"/>
        </w:rPr>
      </w:pPr>
      <w:bookmarkStart w:id="6" w:name="_DV_M19"/>
      <w:bookmarkStart w:id="7" w:name="_DV_M20"/>
      <w:bookmarkStart w:id="8" w:name="_DV_M22"/>
      <w:bookmarkStart w:id="9" w:name="_DV_M23"/>
      <w:bookmarkStart w:id="10" w:name="_DV_M24"/>
      <w:bookmarkStart w:id="11" w:name="_DV_M25"/>
      <w:bookmarkStart w:id="12" w:name="_DV_M26"/>
      <w:bookmarkStart w:id="13" w:name="_DV_M27"/>
      <w:bookmarkStart w:id="14" w:name="_DV_M28"/>
      <w:bookmarkStart w:id="15" w:name="_DV_M29"/>
      <w:bookmarkStart w:id="16" w:name="_DV_M34"/>
      <w:bookmarkStart w:id="17" w:name="_DV_M35"/>
      <w:bookmarkStart w:id="18" w:name="_DV_M36"/>
      <w:bookmarkEnd w:id="6"/>
      <w:bookmarkEnd w:id="7"/>
      <w:bookmarkEnd w:id="8"/>
      <w:bookmarkEnd w:id="9"/>
      <w:bookmarkEnd w:id="10"/>
      <w:bookmarkEnd w:id="11"/>
      <w:bookmarkEnd w:id="12"/>
      <w:bookmarkEnd w:id="13"/>
      <w:bookmarkEnd w:id="14"/>
      <w:bookmarkEnd w:id="15"/>
      <w:bookmarkEnd w:id="16"/>
      <w:bookmarkEnd w:id="17"/>
      <w:bookmarkEnd w:id="18"/>
    </w:p>
    <w:p w:rsidR="00845B11" w:rsidRPr="00751B58" w:rsidRDefault="00845B11" w:rsidP="00845B11">
      <w:pPr>
        <w:pStyle w:val="BodyTextIndent2"/>
        <w:widowControl/>
        <w:ind w:left="0"/>
        <w:jc w:val="both"/>
        <w:rPr>
          <w:b/>
          <w:i w:val="0"/>
          <w:iCs w:val="0"/>
          <w:sz w:val="22"/>
          <w:szCs w:val="22"/>
        </w:rPr>
      </w:pPr>
      <w:r w:rsidRPr="00751B58">
        <w:rPr>
          <w:b/>
          <w:i w:val="0"/>
          <w:iCs w:val="0"/>
          <w:sz w:val="22"/>
          <w:szCs w:val="22"/>
        </w:rPr>
        <w:t>CHANGES TO EXISTING SUB-FUNDS AND SHARE CLASSES</w:t>
      </w:r>
    </w:p>
    <w:p w:rsidR="00845B11" w:rsidRPr="00751B58" w:rsidRDefault="00845B11" w:rsidP="00845B11">
      <w:pPr>
        <w:pStyle w:val="BodyTextIndent2"/>
        <w:widowControl/>
        <w:ind w:left="0"/>
        <w:jc w:val="both"/>
        <w:rPr>
          <w:b/>
          <w:i w:val="0"/>
          <w:iCs w:val="0"/>
          <w:sz w:val="22"/>
          <w:szCs w:val="22"/>
        </w:rPr>
      </w:pPr>
    </w:p>
    <w:p w:rsidR="00845B11" w:rsidRDefault="00845B11" w:rsidP="00845B11">
      <w:pPr>
        <w:pStyle w:val="BodyTextIndent2"/>
        <w:widowControl/>
        <w:numPr>
          <w:ilvl w:val="0"/>
          <w:numId w:val="12"/>
        </w:numPr>
        <w:tabs>
          <w:tab w:val="clear" w:pos="720"/>
          <w:tab w:val="num" w:pos="300"/>
          <w:tab w:val="num" w:pos="2760"/>
        </w:tabs>
        <w:ind w:left="300" w:hanging="300"/>
        <w:jc w:val="both"/>
        <w:rPr>
          <w:b/>
          <w:i w:val="0"/>
          <w:iCs w:val="0"/>
          <w:sz w:val="22"/>
          <w:szCs w:val="22"/>
        </w:rPr>
      </w:pPr>
      <w:r>
        <w:rPr>
          <w:b/>
          <w:i w:val="0"/>
          <w:iCs w:val="0"/>
          <w:sz w:val="22"/>
          <w:szCs w:val="22"/>
        </w:rPr>
        <w:t>Renaming of Hedged Share Classes</w:t>
      </w:r>
    </w:p>
    <w:p w:rsidR="00845B11" w:rsidRPr="004C55DE" w:rsidRDefault="00845B11" w:rsidP="00845B11">
      <w:pPr>
        <w:pStyle w:val="BodyTextIndent2"/>
        <w:widowControl/>
        <w:ind w:left="0"/>
        <w:jc w:val="both"/>
        <w:rPr>
          <w:i w:val="0"/>
          <w:iCs w:val="0"/>
          <w:sz w:val="22"/>
          <w:szCs w:val="22"/>
        </w:rPr>
      </w:pPr>
    </w:p>
    <w:p w:rsidR="00845B11" w:rsidRDefault="00845B11" w:rsidP="00845B11">
      <w:pPr>
        <w:pStyle w:val="BodyTextIndent2"/>
        <w:widowControl/>
        <w:ind w:left="0"/>
        <w:jc w:val="both"/>
        <w:rPr>
          <w:i w:val="0"/>
          <w:iCs w:val="0"/>
          <w:sz w:val="22"/>
          <w:szCs w:val="22"/>
        </w:rPr>
      </w:pPr>
      <w:r w:rsidRPr="008946EB">
        <w:rPr>
          <w:i w:val="0"/>
          <w:iCs w:val="0"/>
          <w:sz w:val="22"/>
          <w:szCs w:val="22"/>
        </w:rPr>
        <w:t xml:space="preserve">With effect from </w:t>
      </w:r>
      <w:r w:rsidR="007706B6" w:rsidRPr="008635F3">
        <w:rPr>
          <w:i w:val="0"/>
          <w:iCs w:val="0"/>
          <w:sz w:val="22"/>
          <w:szCs w:val="22"/>
        </w:rPr>
        <w:t>2</w:t>
      </w:r>
      <w:r w:rsidR="00FE1DCE" w:rsidRPr="008635F3">
        <w:rPr>
          <w:i w:val="0"/>
          <w:iCs w:val="0"/>
          <w:sz w:val="22"/>
          <w:szCs w:val="22"/>
        </w:rPr>
        <w:t xml:space="preserve"> March</w:t>
      </w:r>
      <w:r w:rsidRPr="008635F3">
        <w:rPr>
          <w:i w:val="0"/>
          <w:iCs w:val="0"/>
          <w:sz w:val="22"/>
          <w:szCs w:val="22"/>
        </w:rPr>
        <w:t xml:space="preserve"> 2015, </w:t>
      </w:r>
      <w:r>
        <w:rPr>
          <w:i w:val="0"/>
          <w:iCs w:val="0"/>
          <w:sz w:val="22"/>
          <w:szCs w:val="22"/>
        </w:rPr>
        <w:t>the existing currency hedged share classes offered in certain sub-funds shall be renamed to better explain their effect considering</w:t>
      </w:r>
      <w:r w:rsidRPr="004A2611">
        <w:rPr>
          <w:i w:val="0"/>
          <w:sz w:val="22"/>
        </w:rPr>
        <w:t xml:space="preserve"> the currencies of </w:t>
      </w:r>
      <w:r>
        <w:rPr>
          <w:i w:val="0"/>
          <w:iCs w:val="0"/>
          <w:sz w:val="22"/>
          <w:szCs w:val="22"/>
        </w:rPr>
        <w:t>the</w:t>
      </w:r>
      <w:r w:rsidRPr="004A2611">
        <w:rPr>
          <w:i w:val="0"/>
          <w:sz w:val="22"/>
        </w:rPr>
        <w:t xml:space="preserve"> underlying assets </w:t>
      </w:r>
      <w:r>
        <w:rPr>
          <w:i w:val="0"/>
          <w:iCs w:val="0"/>
          <w:sz w:val="22"/>
          <w:szCs w:val="22"/>
        </w:rPr>
        <w:t xml:space="preserve">of the relevant sub-fund. The new collective name of the hedged share classes will be "Base Currency Exposure Share Classes" as indicated in the table set out in the Appendix. </w:t>
      </w:r>
    </w:p>
    <w:p w:rsidR="00845B11" w:rsidRDefault="00845B11" w:rsidP="00845B11">
      <w:pPr>
        <w:pStyle w:val="BodyTextIndent2"/>
        <w:widowControl/>
        <w:ind w:left="0"/>
        <w:jc w:val="both"/>
        <w:rPr>
          <w:i w:val="0"/>
          <w:iCs w:val="0"/>
          <w:sz w:val="22"/>
          <w:szCs w:val="22"/>
        </w:rPr>
      </w:pPr>
    </w:p>
    <w:p w:rsidR="00845B11" w:rsidRPr="003B4A18" w:rsidRDefault="00845B11" w:rsidP="00845B11">
      <w:pPr>
        <w:jc w:val="both"/>
        <w:rPr>
          <w:sz w:val="22"/>
          <w:szCs w:val="22"/>
        </w:rPr>
      </w:pPr>
      <w:r w:rsidRPr="003B4A18">
        <w:rPr>
          <w:sz w:val="22"/>
          <w:szCs w:val="22"/>
        </w:rPr>
        <w:t>The Base Currency Exposure Share Classes</w:t>
      </w:r>
      <w:r>
        <w:rPr>
          <w:sz w:val="22"/>
          <w:szCs w:val="22"/>
        </w:rPr>
        <w:t xml:space="preserve">, </w:t>
      </w:r>
      <w:r w:rsidRPr="003B4A18">
        <w:rPr>
          <w:sz w:val="22"/>
          <w:szCs w:val="22"/>
        </w:rPr>
        <w:t>where available</w:t>
      </w:r>
      <w:r>
        <w:rPr>
          <w:sz w:val="22"/>
          <w:szCs w:val="22"/>
        </w:rPr>
        <w:t>,</w:t>
      </w:r>
      <w:r w:rsidRPr="003B4A18">
        <w:rPr>
          <w:sz w:val="22"/>
          <w:szCs w:val="22"/>
        </w:rPr>
        <w:t xml:space="preserve"> seek to offer amended currency risk (which can generate greater or lesser risk depending on the share class </w:t>
      </w:r>
      <w:r>
        <w:rPr>
          <w:sz w:val="22"/>
          <w:szCs w:val="22"/>
        </w:rPr>
        <w:t xml:space="preserve">currency </w:t>
      </w:r>
      <w:r w:rsidRPr="003B4A18">
        <w:rPr>
          <w:sz w:val="22"/>
          <w:szCs w:val="22"/>
        </w:rPr>
        <w:t xml:space="preserve">and sub-fund currency exposures), by selling the sub-fund base currency and buying the </w:t>
      </w:r>
      <w:r>
        <w:rPr>
          <w:sz w:val="22"/>
          <w:szCs w:val="22"/>
        </w:rPr>
        <w:t xml:space="preserve">currency of the </w:t>
      </w:r>
      <w:r w:rsidRPr="003B4A18">
        <w:rPr>
          <w:sz w:val="22"/>
          <w:szCs w:val="22"/>
        </w:rPr>
        <w:t>Base Currency Exposure Share Class.</w:t>
      </w:r>
    </w:p>
    <w:p w:rsidR="00845B11" w:rsidRDefault="00845B11" w:rsidP="00845B11">
      <w:pPr>
        <w:pStyle w:val="BodyTextIndent2"/>
        <w:widowControl/>
        <w:ind w:left="0"/>
        <w:jc w:val="both"/>
        <w:rPr>
          <w:i w:val="0"/>
          <w:iCs w:val="0"/>
          <w:sz w:val="22"/>
          <w:szCs w:val="22"/>
        </w:rPr>
      </w:pPr>
    </w:p>
    <w:p w:rsidR="00845B11" w:rsidRDefault="00845B11" w:rsidP="00845B11">
      <w:pPr>
        <w:pStyle w:val="BodyText1"/>
        <w:rPr>
          <w:color w:val="auto"/>
          <w:sz w:val="22"/>
          <w:szCs w:val="22"/>
          <w:lang w:eastAsia="fr-FR"/>
        </w:rPr>
      </w:pPr>
      <w:r>
        <w:rPr>
          <w:color w:val="auto"/>
          <w:sz w:val="22"/>
          <w:szCs w:val="22"/>
          <w:lang w:eastAsia="fr-FR"/>
        </w:rPr>
        <w:t>Depending on the underlying currency exposure of a sub-fund, it should be noted that Base Currency Exposure Share Classes are categorised as follows:</w:t>
      </w:r>
    </w:p>
    <w:p w:rsidR="00845B11" w:rsidRDefault="00845B11" w:rsidP="00845B11">
      <w:pPr>
        <w:pStyle w:val="BodyText1"/>
        <w:rPr>
          <w:color w:val="auto"/>
          <w:sz w:val="22"/>
          <w:szCs w:val="22"/>
          <w:lang w:eastAsia="fr-FR"/>
        </w:rPr>
      </w:pPr>
    </w:p>
    <w:p w:rsidR="00845B11" w:rsidRDefault="00845B11" w:rsidP="00845B11">
      <w:pPr>
        <w:pStyle w:val="BodyText1"/>
        <w:numPr>
          <w:ilvl w:val="0"/>
          <w:numId w:val="13"/>
        </w:numPr>
        <w:snapToGrid w:val="0"/>
        <w:rPr>
          <w:color w:val="auto"/>
          <w:sz w:val="22"/>
          <w:szCs w:val="22"/>
          <w:lang w:eastAsia="fr-FR"/>
        </w:rPr>
      </w:pPr>
      <w:r>
        <w:rPr>
          <w:color w:val="auto"/>
          <w:sz w:val="22"/>
          <w:szCs w:val="22"/>
          <w:u w:val="single"/>
          <w:lang w:eastAsia="fr-FR"/>
        </w:rPr>
        <w:t>Base Currency Hedged Share Classes,</w:t>
      </w:r>
      <w:r>
        <w:rPr>
          <w:color w:val="auto"/>
          <w:sz w:val="22"/>
          <w:szCs w:val="22"/>
          <w:lang w:eastAsia="fr-FR"/>
        </w:rPr>
        <w:t xml:space="preserve"> where the sub-fund invests at least 80% of its assets in securities denominated in the base currency of the sub-fund (or hedged back to the base currency by the Investment Adviser).</w:t>
      </w:r>
    </w:p>
    <w:p w:rsidR="00845B11" w:rsidRDefault="00845B11" w:rsidP="00845B11">
      <w:pPr>
        <w:pStyle w:val="BodyText1"/>
        <w:rPr>
          <w:color w:val="auto"/>
          <w:sz w:val="22"/>
          <w:szCs w:val="22"/>
          <w:lang w:eastAsia="fr-FR"/>
        </w:rPr>
      </w:pPr>
    </w:p>
    <w:p w:rsidR="00845B11" w:rsidRDefault="00845B11" w:rsidP="00845B11">
      <w:pPr>
        <w:pStyle w:val="BodyText1"/>
        <w:rPr>
          <w:color w:val="auto"/>
          <w:sz w:val="22"/>
          <w:szCs w:val="22"/>
          <w:lang w:eastAsia="fr-FR"/>
        </w:rPr>
      </w:pPr>
      <w:r>
        <w:rPr>
          <w:color w:val="auto"/>
          <w:sz w:val="22"/>
          <w:szCs w:val="22"/>
          <w:lang w:eastAsia="fr-FR"/>
        </w:rPr>
        <w:t xml:space="preserve">For example, the Aberdeen Global II – US Dollar High Yield Bond Fund only offers this type of Base Currency Exposure Share Class as it has a base currency of USD with at least 80% of assets held in securities denominated in USD (or hedged back to USD by the Investment Adviser). </w:t>
      </w:r>
    </w:p>
    <w:p w:rsidR="00845B11" w:rsidRDefault="00845B11" w:rsidP="00845B11">
      <w:pPr>
        <w:pStyle w:val="BodyText1"/>
        <w:rPr>
          <w:color w:val="auto"/>
          <w:sz w:val="22"/>
          <w:szCs w:val="22"/>
          <w:lang w:eastAsia="fr-FR"/>
        </w:rPr>
      </w:pPr>
    </w:p>
    <w:p w:rsidR="00845B11" w:rsidRDefault="00845B11" w:rsidP="00845B11">
      <w:pPr>
        <w:pStyle w:val="BodyText1"/>
        <w:rPr>
          <w:color w:val="auto"/>
          <w:sz w:val="22"/>
          <w:szCs w:val="22"/>
          <w:lang w:eastAsia="fr-FR"/>
        </w:rPr>
      </w:pPr>
      <w:r>
        <w:rPr>
          <w:color w:val="auto"/>
          <w:sz w:val="22"/>
          <w:szCs w:val="22"/>
          <w:lang w:eastAsia="fr-FR"/>
        </w:rPr>
        <w:t xml:space="preserve">(B) </w:t>
      </w:r>
      <w:r>
        <w:rPr>
          <w:color w:val="auto"/>
          <w:sz w:val="22"/>
          <w:szCs w:val="22"/>
          <w:u w:val="single"/>
          <w:lang w:eastAsia="fr-FR"/>
        </w:rPr>
        <w:t>Partial Base Currency Short Share Classes</w:t>
      </w:r>
      <w:r>
        <w:rPr>
          <w:color w:val="auto"/>
          <w:sz w:val="22"/>
          <w:szCs w:val="22"/>
          <w:lang w:eastAsia="fr-FR"/>
        </w:rPr>
        <w:t>, where the sub-fund invests between 10-80% of its assets in securities denominated in the base currency of the sub-fund (or hedged back to the base currency by the Investment Adviser).</w:t>
      </w:r>
    </w:p>
    <w:p w:rsidR="00845B11" w:rsidRDefault="00845B11" w:rsidP="00845B11">
      <w:pPr>
        <w:pStyle w:val="BodyText1"/>
        <w:ind w:left="60"/>
        <w:rPr>
          <w:color w:val="auto"/>
          <w:sz w:val="22"/>
          <w:szCs w:val="22"/>
          <w:lang w:eastAsia="fr-FR"/>
        </w:rPr>
      </w:pPr>
    </w:p>
    <w:p w:rsidR="00845B11" w:rsidRDefault="00845B11" w:rsidP="00845B11">
      <w:pPr>
        <w:pStyle w:val="BodyText1"/>
        <w:rPr>
          <w:color w:val="auto"/>
          <w:sz w:val="22"/>
          <w:szCs w:val="22"/>
          <w:lang w:eastAsia="fr-FR"/>
        </w:rPr>
      </w:pPr>
      <w:r>
        <w:rPr>
          <w:color w:val="auto"/>
          <w:sz w:val="22"/>
          <w:szCs w:val="22"/>
          <w:lang w:eastAsia="fr-FR"/>
        </w:rPr>
        <w:lastRenderedPageBreak/>
        <w:t>For example, the Aberdeen Global II – Asia Pacific Multi Asset Fund only offers this type of Base Currency Exposure Share Class as it has a base currency of USD with between 10-80% of assets held in securities denominated in USD (or hedged back to USD by the Investment Adviser).</w:t>
      </w:r>
    </w:p>
    <w:p w:rsidR="00845B11" w:rsidRDefault="00845B11" w:rsidP="00845B11">
      <w:pPr>
        <w:pStyle w:val="BodyText1"/>
        <w:rPr>
          <w:color w:val="auto"/>
          <w:sz w:val="22"/>
          <w:szCs w:val="22"/>
          <w:lang w:eastAsia="fr-FR"/>
        </w:rPr>
      </w:pPr>
      <w:r>
        <w:rPr>
          <w:color w:val="auto"/>
          <w:sz w:val="22"/>
          <w:szCs w:val="22"/>
          <w:lang w:eastAsia="fr-FR"/>
        </w:rPr>
        <w:t xml:space="preserve"> </w:t>
      </w:r>
    </w:p>
    <w:p w:rsidR="00845B11" w:rsidRDefault="00845B11" w:rsidP="00845B11">
      <w:pPr>
        <w:pStyle w:val="BodyText1"/>
        <w:rPr>
          <w:color w:val="auto"/>
          <w:sz w:val="22"/>
          <w:szCs w:val="22"/>
          <w:lang w:eastAsia="fr-FR"/>
        </w:rPr>
      </w:pPr>
      <w:r>
        <w:rPr>
          <w:color w:val="auto"/>
          <w:sz w:val="22"/>
          <w:szCs w:val="22"/>
          <w:lang w:eastAsia="fr-FR"/>
        </w:rPr>
        <w:t xml:space="preserve">(C) </w:t>
      </w:r>
      <w:r>
        <w:rPr>
          <w:color w:val="auto"/>
          <w:sz w:val="22"/>
          <w:szCs w:val="22"/>
          <w:u w:val="single"/>
          <w:lang w:eastAsia="fr-FR"/>
        </w:rPr>
        <w:t>Base Currency Short Share Classes,</w:t>
      </w:r>
      <w:r>
        <w:rPr>
          <w:color w:val="auto"/>
          <w:sz w:val="22"/>
          <w:szCs w:val="22"/>
          <w:lang w:eastAsia="fr-FR"/>
        </w:rPr>
        <w:t xml:space="preserve"> where the sub-fund invests less than 10% of its assets in securities denominated in the base currency of the sub-fund (or hedged back to the base currency by the Investment Adviser).</w:t>
      </w:r>
    </w:p>
    <w:p w:rsidR="00845B11" w:rsidRDefault="00845B11" w:rsidP="00845B11">
      <w:pPr>
        <w:pStyle w:val="BodyText1"/>
        <w:rPr>
          <w:color w:val="auto"/>
          <w:sz w:val="22"/>
          <w:szCs w:val="22"/>
          <w:lang w:eastAsia="fr-FR"/>
        </w:rPr>
      </w:pPr>
    </w:p>
    <w:p w:rsidR="00845B11" w:rsidRDefault="00845B11" w:rsidP="00845B11">
      <w:pPr>
        <w:pStyle w:val="BodyText1"/>
        <w:rPr>
          <w:color w:val="auto"/>
          <w:sz w:val="22"/>
          <w:szCs w:val="22"/>
          <w:lang w:eastAsia="fr-FR"/>
        </w:rPr>
      </w:pPr>
      <w:r>
        <w:rPr>
          <w:color w:val="auto"/>
          <w:sz w:val="22"/>
          <w:szCs w:val="22"/>
          <w:lang w:eastAsia="fr-FR"/>
        </w:rPr>
        <w:t xml:space="preserve">For example, the Aberdeen Global II - Emerging Europe Bond (if such share class is available in the future) would only offer this type of Base Currency Exposure Share Class as it has a base currency of EUR with less than 10% of assets held in securities denominated in EUR (or hedged back to EUR by the Investment Adviser). </w:t>
      </w:r>
    </w:p>
    <w:p w:rsidR="00845B11" w:rsidRDefault="00845B11" w:rsidP="00845B11">
      <w:pPr>
        <w:pStyle w:val="BodyText1"/>
        <w:rPr>
          <w:snapToGrid/>
          <w:color w:val="auto"/>
          <w:sz w:val="22"/>
          <w:szCs w:val="22"/>
          <w:lang w:eastAsia="fr-FR"/>
        </w:rPr>
      </w:pPr>
    </w:p>
    <w:p w:rsidR="00845B11" w:rsidRPr="003F1B9E" w:rsidRDefault="00845B11" w:rsidP="00845B11">
      <w:pPr>
        <w:pStyle w:val="BodyText1"/>
        <w:rPr>
          <w:snapToGrid/>
          <w:color w:val="auto"/>
          <w:sz w:val="22"/>
          <w:szCs w:val="22"/>
          <w:lang w:eastAsia="fr-FR"/>
        </w:rPr>
      </w:pPr>
      <w:r w:rsidRPr="00BF6462">
        <w:rPr>
          <w:snapToGrid/>
          <w:color w:val="auto"/>
          <w:sz w:val="22"/>
          <w:szCs w:val="22"/>
          <w:lang w:eastAsia="fr-FR"/>
        </w:rPr>
        <w:t xml:space="preserve">It should be noted that there may be short periods of time when the actual exposure may be more or less than the stated levels above for a Base Currency Exposure Share Class due to a change in the assets in the portfolio of a </w:t>
      </w:r>
      <w:r>
        <w:rPr>
          <w:snapToGrid/>
          <w:color w:val="auto"/>
          <w:sz w:val="22"/>
          <w:szCs w:val="22"/>
          <w:lang w:eastAsia="fr-FR"/>
        </w:rPr>
        <w:t>sub-f</w:t>
      </w:r>
      <w:r w:rsidRPr="00BF6462">
        <w:rPr>
          <w:snapToGrid/>
          <w:color w:val="auto"/>
          <w:sz w:val="22"/>
          <w:szCs w:val="22"/>
          <w:lang w:eastAsia="fr-FR"/>
        </w:rPr>
        <w:t xml:space="preserve">und and/or as a result of redemption and subscription activities. In such circumstances, the </w:t>
      </w:r>
      <w:r>
        <w:rPr>
          <w:snapToGrid/>
          <w:color w:val="auto"/>
          <w:sz w:val="22"/>
          <w:szCs w:val="22"/>
          <w:lang w:eastAsia="fr-FR"/>
        </w:rPr>
        <w:t>category</w:t>
      </w:r>
      <w:r w:rsidRPr="00BF6462">
        <w:rPr>
          <w:snapToGrid/>
          <w:color w:val="auto"/>
          <w:sz w:val="22"/>
          <w:szCs w:val="22"/>
          <w:lang w:eastAsia="fr-FR"/>
        </w:rPr>
        <w:t xml:space="preserve"> of the relevant Share Class described above </w:t>
      </w:r>
      <w:r>
        <w:rPr>
          <w:snapToGrid/>
          <w:color w:val="auto"/>
          <w:sz w:val="22"/>
          <w:szCs w:val="22"/>
          <w:lang w:eastAsia="fr-FR"/>
        </w:rPr>
        <w:t xml:space="preserve">and in the Appendix (which is correct as at just prior to the date of this letter) </w:t>
      </w:r>
      <w:r w:rsidRPr="00BF6462">
        <w:rPr>
          <w:snapToGrid/>
          <w:color w:val="auto"/>
          <w:sz w:val="22"/>
          <w:szCs w:val="22"/>
          <w:lang w:eastAsia="fr-FR"/>
        </w:rPr>
        <w:t xml:space="preserve">will be subject to change. Investors </w:t>
      </w:r>
      <w:r>
        <w:rPr>
          <w:snapToGrid/>
          <w:color w:val="auto"/>
          <w:sz w:val="22"/>
          <w:szCs w:val="22"/>
          <w:lang w:eastAsia="fr-FR"/>
        </w:rPr>
        <w:t xml:space="preserve">in </w:t>
      </w:r>
      <w:r w:rsidRPr="00BF6462">
        <w:rPr>
          <w:snapToGrid/>
          <w:color w:val="auto"/>
          <w:sz w:val="22"/>
          <w:szCs w:val="22"/>
          <w:lang w:eastAsia="fr-FR"/>
        </w:rPr>
        <w:t>Base Currency Exposure Share Class</w:t>
      </w:r>
      <w:r>
        <w:rPr>
          <w:snapToGrid/>
          <w:color w:val="auto"/>
          <w:sz w:val="22"/>
          <w:szCs w:val="22"/>
          <w:lang w:eastAsia="fr-FR"/>
        </w:rPr>
        <w:t>es</w:t>
      </w:r>
      <w:r w:rsidRPr="00BF6462">
        <w:rPr>
          <w:snapToGrid/>
          <w:color w:val="auto"/>
          <w:sz w:val="22"/>
          <w:szCs w:val="22"/>
          <w:lang w:eastAsia="fr-FR"/>
        </w:rPr>
        <w:t xml:space="preserve"> should refer to www.aberdeen-asset.com for details of the </w:t>
      </w:r>
      <w:r>
        <w:rPr>
          <w:snapToGrid/>
          <w:color w:val="auto"/>
          <w:sz w:val="22"/>
          <w:szCs w:val="22"/>
          <w:lang w:eastAsia="fr-FR"/>
        </w:rPr>
        <w:t xml:space="preserve">Base Currency </w:t>
      </w:r>
      <w:r w:rsidRPr="00BF6462">
        <w:rPr>
          <w:snapToGrid/>
          <w:color w:val="auto"/>
          <w:sz w:val="22"/>
          <w:szCs w:val="22"/>
          <w:lang w:eastAsia="fr-FR"/>
        </w:rPr>
        <w:t xml:space="preserve">Share Classes available for a </w:t>
      </w:r>
      <w:r>
        <w:rPr>
          <w:snapToGrid/>
          <w:color w:val="auto"/>
          <w:sz w:val="22"/>
          <w:szCs w:val="22"/>
          <w:lang w:eastAsia="fr-FR"/>
        </w:rPr>
        <w:t>sub-f</w:t>
      </w:r>
      <w:r w:rsidRPr="00BF6462">
        <w:rPr>
          <w:snapToGrid/>
          <w:color w:val="auto"/>
          <w:sz w:val="22"/>
          <w:szCs w:val="22"/>
          <w:lang w:eastAsia="fr-FR"/>
        </w:rPr>
        <w:t xml:space="preserve">und </w:t>
      </w:r>
      <w:r>
        <w:rPr>
          <w:snapToGrid/>
          <w:color w:val="auto"/>
          <w:sz w:val="22"/>
          <w:szCs w:val="22"/>
          <w:lang w:eastAsia="fr-FR"/>
        </w:rPr>
        <w:t xml:space="preserve">and its relevant category according to the currency in which assets of the sub-fund are denominated </w:t>
      </w:r>
      <w:r w:rsidRPr="00BF6462">
        <w:rPr>
          <w:snapToGrid/>
          <w:color w:val="auto"/>
          <w:sz w:val="22"/>
          <w:szCs w:val="22"/>
          <w:lang w:eastAsia="fr-FR"/>
        </w:rPr>
        <w:t>at any time.</w:t>
      </w:r>
    </w:p>
    <w:p w:rsidR="00845B11" w:rsidRDefault="00845B11" w:rsidP="00845B11">
      <w:pPr>
        <w:pStyle w:val="BodyText1"/>
        <w:rPr>
          <w:snapToGrid/>
          <w:color w:val="auto"/>
          <w:sz w:val="22"/>
          <w:szCs w:val="22"/>
          <w:lang w:eastAsia="fr-FR"/>
        </w:rPr>
      </w:pPr>
    </w:p>
    <w:p w:rsidR="00845B11" w:rsidRPr="00A262E1" w:rsidRDefault="00845B11" w:rsidP="00845B11">
      <w:pPr>
        <w:jc w:val="both"/>
        <w:rPr>
          <w:sz w:val="22"/>
          <w:szCs w:val="22"/>
        </w:rPr>
      </w:pPr>
      <w:r w:rsidRPr="00A262E1">
        <w:rPr>
          <w:sz w:val="22"/>
          <w:szCs w:val="22"/>
        </w:rPr>
        <w:t xml:space="preserve">It should be further noted that regardless of the Base Currency Exposure Share Class category, the operational process of using forward foreign exchange contracts remains unchanged and the same process is employed for each type of Share Class, so performance and other characteristics of the Base Currency Exposure Share Classes will be unaffected any change in category resulting from a change in underlying assets. </w:t>
      </w:r>
    </w:p>
    <w:p w:rsidR="00845B11" w:rsidRDefault="00845B11" w:rsidP="00845B11">
      <w:pPr>
        <w:pStyle w:val="BodyText1"/>
        <w:rPr>
          <w:snapToGrid/>
          <w:color w:val="auto"/>
          <w:sz w:val="22"/>
          <w:szCs w:val="22"/>
          <w:lang w:eastAsia="fr-FR"/>
        </w:rPr>
      </w:pPr>
    </w:p>
    <w:p w:rsidR="00845B11" w:rsidRDefault="00845B11" w:rsidP="00845B11">
      <w:pPr>
        <w:pStyle w:val="BodyText1"/>
        <w:rPr>
          <w:snapToGrid/>
          <w:color w:val="auto"/>
          <w:sz w:val="22"/>
          <w:szCs w:val="22"/>
          <w:lang w:eastAsia="fr-FR"/>
        </w:rPr>
      </w:pPr>
      <w:r w:rsidRPr="003F1B9E">
        <w:rPr>
          <w:snapToGrid/>
          <w:color w:val="auto"/>
          <w:sz w:val="22"/>
          <w:szCs w:val="22"/>
          <w:lang w:eastAsia="fr-FR"/>
        </w:rPr>
        <w:t>The disclosure in the prospectus relating to such Share Classes has also been amended accordingly</w:t>
      </w:r>
      <w:r>
        <w:rPr>
          <w:snapToGrid/>
          <w:color w:val="auto"/>
          <w:sz w:val="22"/>
          <w:szCs w:val="22"/>
          <w:lang w:eastAsia="fr-FR"/>
        </w:rPr>
        <w:t>, as well as the applicable minimum investment levels which shall be $5,000 for any initial investment in the Ba</w:t>
      </w:r>
      <w:r w:rsidR="00F814D0">
        <w:rPr>
          <w:snapToGrid/>
          <w:color w:val="auto"/>
          <w:sz w:val="22"/>
          <w:szCs w:val="22"/>
          <w:lang w:eastAsia="fr-FR"/>
        </w:rPr>
        <w:t xml:space="preserve">se Currency Hedged versions of </w:t>
      </w:r>
      <w:r>
        <w:rPr>
          <w:snapToGrid/>
          <w:color w:val="auto"/>
          <w:sz w:val="22"/>
          <w:szCs w:val="22"/>
          <w:lang w:eastAsia="fr-FR"/>
        </w:rPr>
        <w:t xml:space="preserve">Class A, C and U Base </w:t>
      </w:r>
      <w:r w:rsidR="00F814D0">
        <w:rPr>
          <w:snapToGrid/>
          <w:color w:val="auto"/>
          <w:sz w:val="22"/>
          <w:szCs w:val="22"/>
          <w:lang w:eastAsia="fr-FR"/>
        </w:rPr>
        <w:t>Currency Exposure Share Classes</w:t>
      </w:r>
      <w:r>
        <w:rPr>
          <w:snapToGrid/>
          <w:color w:val="auto"/>
          <w:sz w:val="22"/>
          <w:szCs w:val="22"/>
          <w:lang w:eastAsia="fr-FR"/>
        </w:rPr>
        <w:t xml:space="preserve"> of a sub-fund and $200,000 in respect of the Base Currency Short and Partial Base Currency Short versions of the same Share Classes.</w:t>
      </w:r>
    </w:p>
    <w:p w:rsidR="00845B11" w:rsidRDefault="00845B11" w:rsidP="00845B11">
      <w:pPr>
        <w:pStyle w:val="BodyTextIndent2"/>
        <w:widowControl/>
        <w:tabs>
          <w:tab w:val="num" w:pos="2760"/>
        </w:tabs>
        <w:ind w:left="300"/>
        <w:jc w:val="both"/>
        <w:rPr>
          <w:b/>
          <w:i w:val="0"/>
          <w:iCs w:val="0"/>
          <w:sz w:val="22"/>
          <w:szCs w:val="22"/>
        </w:rPr>
      </w:pPr>
    </w:p>
    <w:p w:rsidR="00845B11" w:rsidRDefault="00845B11" w:rsidP="00845B11">
      <w:pPr>
        <w:pStyle w:val="BodyTextIndent2"/>
        <w:widowControl/>
        <w:ind w:left="0"/>
        <w:jc w:val="both"/>
        <w:rPr>
          <w:i w:val="0"/>
          <w:iCs w:val="0"/>
          <w:sz w:val="22"/>
          <w:szCs w:val="22"/>
        </w:rPr>
      </w:pPr>
    </w:p>
    <w:p w:rsidR="00845B11" w:rsidRPr="00C900C1" w:rsidRDefault="00845B11" w:rsidP="00845B11">
      <w:pPr>
        <w:pStyle w:val="BodyTextIndent2"/>
        <w:widowControl/>
        <w:ind w:left="0"/>
        <w:jc w:val="both"/>
        <w:rPr>
          <w:i w:val="0"/>
          <w:iCs w:val="0"/>
          <w:sz w:val="22"/>
          <w:szCs w:val="22"/>
        </w:rPr>
      </w:pPr>
      <w:r w:rsidRPr="00751B58">
        <w:rPr>
          <w:i w:val="0"/>
          <w:iCs w:val="0"/>
          <w:sz w:val="22"/>
          <w:szCs w:val="22"/>
        </w:rPr>
        <w:t xml:space="preserve">Shareholders affected by the changes mentioned </w:t>
      </w:r>
      <w:r>
        <w:rPr>
          <w:i w:val="0"/>
          <w:iCs w:val="0"/>
          <w:sz w:val="22"/>
          <w:szCs w:val="22"/>
        </w:rPr>
        <w:t xml:space="preserve">above </w:t>
      </w:r>
      <w:r w:rsidRPr="00751B58">
        <w:rPr>
          <w:i w:val="0"/>
          <w:iCs w:val="0"/>
          <w:sz w:val="22"/>
          <w:szCs w:val="22"/>
        </w:rPr>
        <w:t xml:space="preserve">who feel that the aforementioned changes no longer meet their investment requirements may request redemption or switching of their shares, free of </w:t>
      </w:r>
      <w:r>
        <w:rPr>
          <w:i w:val="0"/>
          <w:iCs w:val="0"/>
          <w:sz w:val="22"/>
          <w:szCs w:val="22"/>
        </w:rPr>
        <w:t xml:space="preserve">any applicable redemption and/or switching </w:t>
      </w:r>
      <w:r w:rsidRPr="00751B58">
        <w:rPr>
          <w:i w:val="0"/>
          <w:iCs w:val="0"/>
          <w:sz w:val="22"/>
          <w:szCs w:val="22"/>
        </w:rPr>
        <w:t>charge</w:t>
      </w:r>
      <w:r>
        <w:rPr>
          <w:i w:val="0"/>
          <w:iCs w:val="0"/>
          <w:sz w:val="22"/>
          <w:szCs w:val="22"/>
        </w:rPr>
        <w:t>s</w:t>
      </w:r>
      <w:r w:rsidRPr="00751B58">
        <w:rPr>
          <w:i w:val="0"/>
          <w:iCs w:val="0"/>
          <w:sz w:val="22"/>
          <w:szCs w:val="22"/>
        </w:rPr>
        <w:t xml:space="preserve">, until 13:00 hours Luxembourg time </w:t>
      </w:r>
      <w:r w:rsidRPr="00446DDA">
        <w:rPr>
          <w:i w:val="0"/>
          <w:iCs w:val="0"/>
          <w:sz w:val="22"/>
          <w:szCs w:val="22"/>
        </w:rPr>
        <w:t xml:space="preserve">on </w:t>
      </w:r>
      <w:r w:rsidR="00FE1DCE" w:rsidRPr="00446DDA">
        <w:rPr>
          <w:i w:val="0"/>
          <w:iCs w:val="0"/>
          <w:sz w:val="22"/>
          <w:szCs w:val="22"/>
        </w:rPr>
        <w:t>27</w:t>
      </w:r>
      <w:r w:rsidRPr="00446DDA">
        <w:rPr>
          <w:i w:val="0"/>
          <w:iCs w:val="0"/>
          <w:sz w:val="22"/>
          <w:szCs w:val="22"/>
        </w:rPr>
        <w:t xml:space="preserve"> February 2015</w:t>
      </w:r>
      <w:r w:rsidRPr="00A72691">
        <w:rPr>
          <w:i w:val="0"/>
          <w:iCs w:val="0"/>
          <w:sz w:val="22"/>
          <w:szCs w:val="22"/>
        </w:rPr>
        <w:t xml:space="preserve">. </w:t>
      </w:r>
    </w:p>
    <w:p w:rsidR="00845B11" w:rsidRDefault="00845B11" w:rsidP="00845B11">
      <w:pPr>
        <w:pStyle w:val="BodyTextIndent2"/>
        <w:widowControl/>
        <w:ind w:left="0"/>
        <w:jc w:val="both"/>
        <w:rPr>
          <w:b/>
          <w:bCs/>
          <w:i w:val="0"/>
          <w:iCs w:val="0"/>
          <w:sz w:val="22"/>
          <w:szCs w:val="22"/>
        </w:rPr>
      </w:pPr>
    </w:p>
    <w:p w:rsidR="00845B11" w:rsidRDefault="00845B11" w:rsidP="00845B11">
      <w:pPr>
        <w:pStyle w:val="BodyTextIndent2"/>
        <w:widowControl/>
        <w:ind w:left="0"/>
        <w:jc w:val="both"/>
        <w:rPr>
          <w:b/>
          <w:bCs/>
          <w:i w:val="0"/>
          <w:iCs w:val="0"/>
          <w:sz w:val="22"/>
          <w:szCs w:val="22"/>
        </w:rPr>
      </w:pPr>
      <w:r>
        <w:rPr>
          <w:b/>
          <w:bCs/>
          <w:i w:val="0"/>
          <w:iCs w:val="0"/>
          <w:sz w:val="22"/>
          <w:szCs w:val="22"/>
        </w:rPr>
        <w:t>ADMINISTRATIVE CHANGES</w:t>
      </w:r>
    </w:p>
    <w:p w:rsidR="00845B11" w:rsidRPr="0033416D" w:rsidRDefault="00845B11" w:rsidP="00845B11">
      <w:pPr>
        <w:pStyle w:val="BodyTextIndent2"/>
        <w:widowControl/>
        <w:ind w:left="0"/>
        <w:jc w:val="both"/>
        <w:rPr>
          <w:i w:val="0"/>
          <w:iCs w:val="0"/>
          <w:sz w:val="22"/>
          <w:szCs w:val="22"/>
        </w:rPr>
      </w:pPr>
    </w:p>
    <w:p w:rsidR="00845B11" w:rsidRDefault="00845B11" w:rsidP="00845B11">
      <w:pPr>
        <w:pStyle w:val="BodyTextIndent2"/>
        <w:widowControl/>
        <w:ind w:left="0"/>
        <w:jc w:val="both"/>
        <w:rPr>
          <w:i w:val="0"/>
          <w:iCs w:val="0"/>
          <w:sz w:val="22"/>
          <w:szCs w:val="22"/>
        </w:rPr>
      </w:pPr>
      <w:r w:rsidRPr="0033416D">
        <w:rPr>
          <w:i w:val="0"/>
          <w:iCs w:val="0"/>
          <w:sz w:val="22"/>
          <w:szCs w:val="22"/>
        </w:rPr>
        <w:t xml:space="preserve">The Prospectus </w:t>
      </w:r>
      <w:r>
        <w:rPr>
          <w:i w:val="0"/>
          <w:iCs w:val="0"/>
          <w:sz w:val="22"/>
          <w:szCs w:val="22"/>
        </w:rPr>
        <w:t xml:space="preserve">will </w:t>
      </w:r>
      <w:r w:rsidRPr="0033416D">
        <w:rPr>
          <w:i w:val="0"/>
          <w:iCs w:val="0"/>
          <w:sz w:val="22"/>
          <w:szCs w:val="22"/>
        </w:rPr>
        <w:t>also b</w:t>
      </w:r>
      <w:r>
        <w:rPr>
          <w:i w:val="0"/>
          <w:iCs w:val="0"/>
          <w:sz w:val="22"/>
          <w:szCs w:val="22"/>
        </w:rPr>
        <w:t>e</w:t>
      </w:r>
      <w:r w:rsidRPr="0033416D">
        <w:rPr>
          <w:i w:val="0"/>
          <w:iCs w:val="0"/>
          <w:sz w:val="22"/>
          <w:szCs w:val="22"/>
        </w:rPr>
        <w:t xml:space="preserve"> </w:t>
      </w:r>
      <w:r>
        <w:rPr>
          <w:i w:val="0"/>
          <w:iCs w:val="0"/>
          <w:sz w:val="22"/>
          <w:szCs w:val="22"/>
        </w:rPr>
        <w:t>updated for</w:t>
      </w:r>
      <w:r w:rsidRPr="0033416D">
        <w:rPr>
          <w:i w:val="0"/>
          <w:iCs w:val="0"/>
          <w:sz w:val="22"/>
          <w:szCs w:val="22"/>
        </w:rPr>
        <w:t xml:space="preserve"> factual information as well as certain clarifications</w:t>
      </w:r>
      <w:r>
        <w:rPr>
          <w:i w:val="0"/>
          <w:iCs w:val="0"/>
          <w:sz w:val="22"/>
          <w:szCs w:val="22"/>
        </w:rPr>
        <w:t>, including but not limited to the following</w:t>
      </w:r>
      <w:r w:rsidRPr="0033416D">
        <w:rPr>
          <w:i w:val="0"/>
          <w:iCs w:val="0"/>
          <w:sz w:val="22"/>
          <w:szCs w:val="22"/>
        </w:rPr>
        <w:t>.</w:t>
      </w:r>
      <w:r w:rsidRPr="00694DFF">
        <w:rPr>
          <w:i w:val="0"/>
          <w:iCs w:val="0"/>
          <w:sz w:val="22"/>
          <w:szCs w:val="22"/>
        </w:rPr>
        <w:t xml:space="preserve"> </w:t>
      </w:r>
    </w:p>
    <w:p w:rsidR="00845B11" w:rsidRDefault="00845B11" w:rsidP="00845B11">
      <w:pPr>
        <w:pStyle w:val="BodyTextIndent2"/>
        <w:widowControl/>
        <w:ind w:left="0"/>
        <w:jc w:val="both"/>
        <w:rPr>
          <w:i w:val="0"/>
          <w:iCs w:val="0"/>
          <w:sz w:val="22"/>
          <w:szCs w:val="22"/>
        </w:rPr>
      </w:pPr>
    </w:p>
    <w:p w:rsidR="00845B11" w:rsidRDefault="00845B11" w:rsidP="00845B11">
      <w:pPr>
        <w:pStyle w:val="BodyTextIndent2"/>
        <w:widowControl/>
        <w:ind w:left="0"/>
        <w:jc w:val="both"/>
        <w:rPr>
          <w:i w:val="0"/>
          <w:iCs w:val="0"/>
          <w:sz w:val="22"/>
          <w:szCs w:val="22"/>
        </w:rPr>
      </w:pPr>
      <w:r>
        <w:rPr>
          <w:i w:val="0"/>
          <w:iCs w:val="0"/>
          <w:sz w:val="22"/>
          <w:szCs w:val="22"/>
        </w:rPr>
        <w:t xml:space="preserve">The information relating to the Board of Directors of Aberdeen Global II will be updated to reflect recent changes in the composition of the Board, and to update their biographical information. </w:t>
      </w:r>
    </w:p>
    <w:p w:rsidR="00845B11" w:rsidRDefault="00845B11" w:rsidP="00845B11">
      <w:pPr>
        <w:pStyle w:val="BodyTextIndent2"/>
        <w:widowControl/>
        <w:ind w:left="0"/>
        <w:jc w:val="both"/>
        <w:rPr>
          <w:i w:val="0"/>
          <w:iCs w:val="0"/>
          <w:sz w:val="22"/>
          <w:szCs w:val="22"/>
        </w:rPr>
      </w:pPr>
    </w:p>
    <w:p w:rsidR="00845B11" w:rsidRDefault="00845B11" w:rsidP="00845B11">
      <w:pPr>
        <w:pStyle w:val="BodyTextIndent2"/>
        <w:widowControl/>
        <w:ind w:left="0"/>
        <w:jc w:val="both"/>
        <w:rPr>
          <w:i w:val="0"/>
          <w:iCs w:val="0"/>
          <w:sz w:val="22"/>
          <w:szCs w:val="22"/>
        </w:rPr>
      </w:pPr>
      <w:r>
        <w:rPr>
          <w:i w:val="0"/>
          <w:iCs w:val="0"/>
          <w:sz w:val="22"/>
          <w:szCs w:val="22"/>
        </w:rPr>
        <w:t xml:space="preserve">Clarifications and updates have also been made to certain specific risk factors </w:t>
      </w:r>
      <w:r w:rsidRPr="003F1B9E">
        <w:rPr>
          <w:i w:val="0"/>
          <w:iCs w:val="0"/>
          <w:sz w:val="22"/>
          <w:szCs w:val="22"/>
        </w:rPr>
        <w:t xml:space="preserve">of </w:t>
      </w:r>
      <w:r>
        <w:rPr>
          <w:i w:val="0"/>
          <w:iCs w:val="0"/>
          <w:sz w:val="22"/>
          <w:szCs w:val="22"/>
        </w:rPr>
        <w:t>certain sub-funds.</w:t>
      </w:r>
    </w:p>
    <w:p w:rsidR="00845B11" w:rsidRDefault="00845B11" w:rsidP="00845B11">
      <w:pPr>
        <w:pStyle w:val="BodyTextIndent2"/>
        <w:widowControl/>
        <w:ind w:left="0"/>
        <w:jc w:val="both"/>
        <w:rPr>
          <w:i w:val="0"/>
          <w:iCs w:val="0"/>
          <w:sz w:val="22"/>
          <w:szCs w:val="22"/>
        </w:rPr>
      </w:pPr>
    </w:p>
    <w:p w:rsidR="00845B11" w:rsidRPr="0077206A" w:rsidRDefault="00845B11" w:rsidP="00845B11">
      <w:pPr>
        <w:pStyle w:val="BodyTextIndent2"/>
        <w:widowControl/>
        <w:ind w:left="0"/>
        <w:jc w:val="both"/>
        <w:rPr>
          <w:sz w:val="22"/>
          <w:szCs w:val="22"/>
        </w:rPr>
      </w:pPr>
      <w:r>
        <w:rPr>
          <w:i w:val="0"/>
          <w:iCs w:val="0"/>
          <w:sz w:val="22"/>
          <w:szCs w:val="22"/>
        </w:rPr>
        <w:lastRenderedPageBreak/>
        <w:t>The Prospectus has been updated to reflect distribution frequency changes in the following sub-funds, as previously notified to investors and effective on 1 October 2014</w:t>
      </w:r>
      <w:r w:rsidRPr="0077206A">
        <w:rPr>
          <w:sz w:val="22"/>
          <w:szCs w:val="22"/>
        </w:rPr>
        <w:t>:</w:t>
      </w:r>
    </w:p>
    <w:p w:rsidR="00845B11" w:rsidRDefault="00845B11" w:rsidP="00845B11">
      <w:pPr>
        <w:pStyle w:val="BodyText1"/>
        <w:tabs>
          <w:tab w:val="left" w:pos="3969"/>
        </w:tabs>
        <w:rPr>
          <w:snapToGrid/>
          <w:color w:val="auto"/>
          <w:sz w:val="22"/>
          <w:szCs w:val="22"/>
          <w:lang w:eastAsia="fr-FR"/>
        </w:rPr>
      </w:pPr>
    </w:p>
    <w:p w:rsidR="00845B11" w:rsidRPr="0077206A" w:rsidRDefault="00845B11" w:rsidP="00845B11">
      <w:pPr>
        <w:pStyle w:val="BodyText1"/>
        <w:tabs>
          <w:tab w:val="left" w:pos="3969"/>
        </w:tabs>
        <w:rPr>
          <w:snapToGrid/>
          <w:color w:val="auto"/>
          <w:sz w:val="22"/>
          <w:szCs w:val="22"/>
          <w:lang w:eastAsia="fr-FR"/>
        </w:rPr>
      </w:pPr>
      <w:r w:rsidRPr="0077206A">
        <w:rPr>
          <w:snapToGrid/>
          <w:color w:val="auto"/>
          <w:sz w:val="22"/>
          <w:szCs w:val="22"/>
          <w:lang w:eastAsia="fr-FR"/>
        </w:rPr>
        <w:t>Aberdeen Global II - Euro High Yield Bond Fund</w:t>
      </w:r>
    </w:p>
    <w:p w:rsidR="00845B11" w:rsidRDefault="00845B11" w:rsidP="00845B11">
      <w:pPr>
        <w:pStyle w:val="BodyText1"/>
        <w:tabs>
          <w:tab w:val="left" w:pos="3969"/>
        </w:tabs>
        <w:rPr>
          <w:snapToGrid/>
          <w:color w:val="auto"/>
          <w:sz w:val="22"/>
          <w:szCs w:val="22"/>
          <w:lang w:eastAsia="fr-FR"/>
        </w:rPr>
      </w:pPr>
      <w:r w:rsidRPr="0077206A">
        <w:rPr>
          <w:snapToGrid/>
          <w:color w:val="auto"/>
          <w:sz w:val="22"/>
          <w:szCs w:val="22"/>
          <w:lang w:eastAsia="fr-FR"/>
        </w:rPr>
        <w:t>Aberdeen Global II - Global High Yield Bond Fund</w:t>
      </w:r>
    </w:p>
    <w:p w:rsidR="00845B11" w:rsidRPr="0077206A" w:rsidRDefault="00845B11" w:rsidP="00845B11">
      <w:pPr>
        <w:pStyle w:val="BodyText1"/>
        <w:tabs>
          <w:tab w:val="left" w:pos="3969"/>
        </w:tabs>
        <w:rPr>
          <w:snapToGrid/>
          <w:color w:val="auto"/>
          <w:sz w:val="22"/>
          <w:szCs w:val="22"/>
          <w:lang w:eastAsia="fr-FR"/>
        </w:rPr>
      </w:pPr>
      <w:r w:rsidRPr="0077206A">
        <w:rPr>
          <w:snapToGrid/>
          <w:color w:val="auto"/>
          <w:sz w:val="22"/>
          <w:szCs w:val="22"/>
          <w:lang w:eastAsia="fr-FR"/>
        </w:rPr>
        <w:t xml:space="preserve">Aberdeen Global II - US Dollar High Yield Bond Fund </w:t>
      </w:r>
    </w:p>
    <w:p w:rsidR="00845B11" w:rsidRDefault="00845B11" w:rsidP="00845B11">
      <w:pPr>
        <w:pStyle w:val="BodyTextIndent2"/>
        <w:widowControl/>
        <w:ind w:left="0"/>
        <w:jc w:val="both"/>
        <w:rPr>
          <w:i w:val="0"/>
          <w:iCs w:val="0"/>
          <w:sz w:val="22"/>
          <w:szCs w:val="22"/>
        </w:rPr>
      </w:pPr>
    </w:p>
    <w:p w:rsidR="00845B11" w:rsidRDefault="00845B11" w:rsidP="00845B11">
      <w:pPr>
        <w:pStyle w:val="BodyTextIndent2"/>
        <w:widowControl/>
        <w:ind w:left="0"/>
        <w:jc w:val="both"/>
        <w:rPr>
          <w:i w:val="0"/>
          <w:iCs w:val="0"/>
          <w:sz w:val="22"/>
          <w:szCs w:val="22"/>
        </w:rPr>
      </w:pPr>
      <w:r>
        <w:rPr>
          <w:i w:val="0"/>
          <w:iCs w:val="0"/>
          <w:sz w:val="22"/>
          <w:szCs w:val="22"/>
        </w:rPr>
        <w:t xml:space="preserve">The General Risk Factors have been updated in respect of Restricted (Rule 144A) securities. </w:t>
      </w:r>
    </w:p>
    <w:p w:rsidR="00845B11" w:rsidRDefault="00845B11" w:rsidP="00845B11">
      <w:pPr>
        <w:pStyle w:val="BodyTextIndent2"/>
        <w:widowControl/>
        <w:ind w:left="0"/>
        <w:jc w:val="both"/>
        <w:rPr>
          <w:i w:val="0"/>
          <w:iCs w:val="0"/>
          <w:sz w:val="22"/>
          <w:szCs w:val="22"/>
        </w:rPr>
      </w:pPr>
    </w:p>
    <w:p w:rsidR="00845B11" w:rsidRPr="00AA19DF" w:rsidRDefault="00845B11" w:rsidP="00845B11">
      <w:pPr>
        <w:jc w:val="both"/>
        <w:rPr>
          <w:sz w:val="22"/>
          <w:szCs w:val="22"/>
        </w:rPr>
      </w:pPr>
      <w:r w:rsidRPr="00AA19DF">
        <w:rPr>
          <w:sz w:val="22"/>
          <w:szCs w:val="22"/>
        </w:rPr>
        <w:t xml:space="preserve">The section regarding </w:t>
      </w:r>
      <w:r>
        <w:rPr>
          <w:sz w:val="22"/>
          <w:szCs w:val="22"/>
        </w:rPr>
        <w:t>compliance with U.S. Reporting and Withholding R</w:t>
      </w:r>
      <w:r w:rsidRPr="00AA19DF">
        <w:rPr>
          <w:sz w:val="22"/>
          <w:szCs w:val="22"/>
        </w:rPr>
        <w:t xml:space="preserve">equirements has been updated. </w:t>
      </w:r>
    </w:p>
    <w:p w:rsidR="00845B11" w:rsidRDefault="00845B11" w:rsidP="00845B11">
      <w:pPr>
        <w:pStyle w:val="BodyTextIndent2"/>
        <w:widowControl/>
        <w:ind w:left="0"/>
        <w:jc w:val="both"/>
        <w:rPr>
          <w:i w:val="0"/>
          <w:iCs w:val="0"/>
          <w:sz w:val="22"/>
          <w:szCs w:val="22"/>
        </w:rPr>
      </w:pPr>
    </w:p>
    <w:p w:rsidR="00845B11" w:rsidRDefault="00845B11" w:rsidP="00845B11">
      <w:pPr>
        <w:jc w:val="both"/>
        <w:rPr>
          <w:sz w:val="22"/>
          <w:szCs w:val="22"/>
        </w:rPr>
      </w:pPr>
      <w:r w:rsidRPr="00AA19DF">
        <w:rPr>
          <w:sz w:val="22"/>
          <w:szCs w:val="22"/>
        </w:rPr>
        <w:t xml:space="preserve">The expected level of leverage based on “Sum of </w:t>
      </w:r>
      <w:proofErr w:type="spellStart"/>
      <w:r w:rsidRPr="00AA19DF">
        <w:rPr>
          <w:sz w:val="22"/>
          <w:szCs w:val="22"/>
        </w:rPr>
        <w:t>Notionals</w:t>
      </w:r>
      <w:proofErr w:type="spellEnd"/>
      <w:r w:rsidRPr="00AA19DF">
        <w:rPr>
          <w:sz w:val="22"/>
          <w:szCs w:val="22"/>
        </w:rPr>
        <w:t xml:space="preserve">” </w:t>
      </w:r>
      <w:r>
        <w:rPr>
          <w:sz w:val="22"/>
          <w:szCs w:val="22"/>
        </w:rPr>
        <w:t xml:space="preserve">and Commitment </w:t>
      </w:r>
      <w:r w:rsidRPr="00AA19DF">
        <w:rPr>
          <w:sz w:val="22"/>
          <w:szCs w:val="22"/>
        </w:rPr>
        <w:t xml:space="preserve">approach of </w:t>
      </w:r>
      <w:r>
        <w:rPr>
          <w:sz w:val="22"/>
          <w:szCs w:val="22"/>
        </w:rPr>
        <w:t xml:space="preserve">the following sub-funds have </w:t>
      </w:r>
      <w:r w:rsidRPr="00AA19DF">
        <w:rPr>
          <w:sz w:val="22"/>
          <w:szCs w:val="22"/>
        </w:rPr>
        <w:t xml:space="preserve">been recalculated and </w:t>
      </w:r>
      <w:r>
        <w:rPr>
          <w:sz w:val="22"/>
          <w:szCs w:val="22"/>
        </w:rPr>
        <w:t>the prospectus updated accordingly;</w:t>
      </w:r>
    </w:p>
    <w:p w:rsidR="00845B11" w:rsidRDefault="00845B11" w:rsidP="00845B1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0"/>
        <w:gridCol w:w="1800"/>
      </w:tblGrid>
      <w:tr w:rsidR="00845B11" w:rsidRPr="00F10D0F" w:rsidTr="00E10566">
        <w:tc>
          <w:tcPr>
            <w:tcW w:w="4068" w:type="dxa"/>
            <w:tcBorders>
              <w:top w:val="single" w:sz="4" w:space="0" w:color="auto"/>
              <w:left w:val="single" w:sz="4" w:space="0" w:color="auto"/>
              <w:bottom w:val="single" w:sz="4" w:space="0" w:color="auto"/>
              <w:right w:val="single" w:sz="4" w:space="0" w:color="auto"/>
            </w:tcBorders>
            <w:shd w:val="clear" w:color="auto" w:fill="000080"/>
          </w:tcPr>
          <w:p w:rsidR="00845B11" w:rsidRPr="00F10D0F" w:rsidRDefault="00845B11" w:rsidP="00E10566">
            <w:pPr>
              <w:jc w:val="both"/>
              <w:rPr>
                <w:b/>
                <w:sz w:val="22"/>
                <w:szCs w:val="22"/>
                <w:lang w:val="en-IE"/>
              </w:rPr>
            </w:pPr>
          </w:p>
        </w:tc>
        <w:tc>
          <w:tcPr>
            <w:tcW w:w="1800" w:type="dxa"/>
            <w:tcBorders>
              <w:top w:val="single" w:sz="4" w:space="0" w:color="auto"/>
              <w:left w:val="single" w:sz="4" w:space="0" w:color="auto"/>
              <w:bottom w:val="single" w:sz="4" w:space="0" w:color="auto"/>
              <w:right w:val="single" w:sz="4" w:space="0" w:color="auto"/>
            </w:tcBorders>
            <w:shd w:val="clear" w:color="auto" w:fill="000080"/>
          </w:tcPr>
          <w:p w:rsidR="00845B11" w:rsidRPr="00F10D0F" w:rsidRDefault="00845B11" w:rsidP="00E10566">
            <w:pPr>
              <w:jc w:val="both"/>
              <w:rPr>
                <w:b/>
                <w:sz w:val="22"/>
                <w:szCs w:val="22"/>
                <w:lang w:val="en-IE"/>
              </w:rPr>
            </w:pPr>
            <w:r w:rsidRPr="00F10D0F">
              <w:rPr>
                <w:sz w:val="22"/>
                <w:szCs w:val="22"/>
              </w:rPr>
              <w:t xml:space="preserve">Expected Level of Leverage (%) based on “Sum of </w:t>
            </w:r>
            <w:proofErr w:type="spellStart"/>
            <w:r w:rsidRPr="00F10D0F">
              <w:rPr>
                <w:sz w:val="22"/>
                <w:szCs w:val="22"/>
              </w:rPr>
              <w:t>Notionals</w:t>
            </w:r>
            <w:proofErr w:type="spellEnd"/>
            <w:r w:rsidRPr="00F10D0F">
              <w:rPr>
                <w:sz w:val="22"/>
                <w:szCs w:val="22"/>
              </w:rPr>
              <w:t>” approach</w:t>
            </w:r>
          </w:p>
        </w:tc>
        <w:tc>
          <w:tcPr>
            <w:tcW w:w="1800" w:type="dxa"/>
            <w:tcBorders>
              <w:top w:val="single" w:sz="4" w:space="0" w:color="auto"/>
              <w:left w:val="single" w:sz="4" w:space="0" w:color="auto"/>
              <w:bottom w:val="single" w:sz="4" w:space="0" w:color="auto"/>
              <w:right w:val="single" w:sz="4" w:space="0" w:color="auto"/>
            </w:tcBorders>
            <w:shd w:val="clear" w:color="auto" w:fill="000080"/>
          </w:tcPr>
          <w:p w:rsidR="00845B11" w:rsidRPr="00F10D0F" w:rsidRDefault="00845B11" w:rsidP="00E10566">
            <w:pPr>
              <w:jc w:val="both"/>
              <w:rPr>
                <w:b/>
                <w:sz w:val="22"/>
                <w:szCs w:val="22"/>
                <w:lang w:val="en-IE"/>
              </w:rPr>
            </w:pPr>
            <w:r w:rsidRPr="00F10D0F">
              <w:rPr>
                <w:sz w:val="22"/>
                <w:szCs w:val="22"/>
              </w:rPr>
              <w:t>Expected Level of Leverage (%) based on Commitment approach</w:t>
            </w:r>
            <w:r w:rsidRPr="00F10D0F">
              <w:rPr>
                <w:sz w:val="22"/>
                <w:szCs w:val="22"/>
              </w:rPr>
              <w:br/>
            </w:r>
          </w:p>
        </w:tc>
      </w:tr>
      <w:tr w:rsidR="00845B11" w:rsidRPr="00F10D0F" w:rsidTr="00E10566">
        <w:tc>
          <w:tcPr>
            <w:tcW w:w="4068" w:type="dxa"/>
            <w:tcBorders>
              <w:top w:val="single" w:sz="4" w:space="0" w:color="auto"/>
              <w:left w:val="single" w:sz="4" w:space="0" w:color="auto"/>
              <w:bottom w:val="single" w:sz="4" w:space="0" w:color="auto"/>
              <w:right w:val="single" w:sz="4" w:space="0" w:color="auto"/>
            </w:tcBorders>
            <w:shd w:val="clear" w:color="auto" w:fill="auto"/>
          </w:tcPr>
          <w:p w:rsidR="00845B11" w:rsidRPr="00F10D0F" w:rsidRDefault="00845B11" w:rsidP="00E10566">
            <w:pPr>
              <w:jc w:val="both"/>
              <w:rPr>
                <w:sz w:val="22"/>
                <w:szCs w:val="22"/>
                <w:lang w:val="en-IE"/>
              </w:rPr>
            </w:pPr>
            <w:r w:rsidRPr="00F10D0F">
              <w:rPr>
                <w:sz w:val="22"/>
                <w:szCs w:val="22"/>
                <w:lang w:val="en-IE"/>
              </w:rPr>
              <w:t>Aberdeen Global II - Asian Bond Fund</w:t>
            </w:r>
          </w:p>
          <w:p w:rsidR="00845B11" w:rsidRPr="00F10D0F"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F10D0F" w:rsidRDefault="00845B11" w:rsidP="00E10566">
            <w:pPr>
              <w:jc w:val="both"/>
              <w:rPr>
                <w:sz w:val="22"/>
                <w:szCs w:val="22"/>
                <w:lang w:val="en-IE"/>
              </w:rPr>
            </w:pPr>
            <w:r w:rsidRPr="00F10D0F">
              <w:rPr>
                <w:sz w:val="22"/>
                <w:szCs w:val="22"/>
                <w:lang w:val="en-IE"/>
              </w:rPr>
              <w:t>125-250</w:t>
            </w:r>
          </w:p>
          <w:p w:rsidR="00845B11" w:rsidRPr="00F10D0F"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F10D0F" w:rsidRDefault="00845B11" w:rsidP="00E10566">
            <w:pPr>
              <w:jc w:val="both"/>
              <w:rPr>
                <w:sz w:val="22"/>
                <w:szCs w:val="22"/>
                <w:lang w:val="en-IE"/>
              </w:rPr>
            </w:pPr>
            <w:r w:rsidRPr="00F10D0F">
              <w:rPr>
                <w:sz w:val="22"/>
                <w:szCs w:val="22"/>
                <w:lang w:val="en-IE"/>
              </w:rPr>
              <w:t>60-100</w:t>
            </w:r>
          </w:p>
        </w:tc>
      </w:tr>
      <w:tr w:rsidR="00845B11" w:rsidRPr="00F10D0F" w:rsidTr="00E10566">
        <w:tc>
          <w:tcPr>
            <w:tcW w:w="4068" w:type="dxa"/>
            <w:tcBorders>
              <w:top w:val="single" w:sz="4" w:space="0" w:color="auto"/>
              <w:left w:val="single" w:sz="4" w:space="0" w:color="auto"/>
              <w:bottom w:val="single" w:sz="4" w:space="0" w:color="auto"/>
              <w:right w:val="single" w:sz="4" w:space="0" w:color="auto"/>
            </w:tcBorders>
            <w:shd w:val="clear" w:color="auto" w:fill="auto"/>
          </w:tcPr>
          <w:p w:rsidR="00845B11" w:rsidRPr="00F10D0F" w:rsidRDefault="00845B11" w:rsidP="00E10566">
            <w:pPr>
              <w:jc w:val="both"/>
              <w:rPr>
                <w:sz w:val="22"/>
                <w:szCs w:val="22"/>
                <w:lang w:val="en-IE"/>
              </w:rPr>
            </w:pPr>
            <w:r w:rsidRPr="00F10D0F">
              <w:rPr>
                <w:sz w:val="22"/>
                <w:szCs w:val="22"/>
                <w:lang w:val="en-IE"/>
              </w:rPr>
              <w:t xml:space="preserve">Aberdeen Global II - Australian Dollar Bond Fund </w:t>
            </w:r>
          </w:p>
          <w:p w:rsidR="00845B11" w:rsidRPr="00F10D0F"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F10D0F" w:rsidRDefault="00845B11" w:rsidP="00E10566">
            <w:pPr>
              <w:jc w:val="both"/>
              <w:rPr>
                <w:sz w:val="22"/>
                <w:szCs w:val="22"/>
                <w:lang w:val="en-IE"/>
              </w:rPr>
            </w:pPr>
            <w:r w:rsidRPr="00F10D0F">
              <w:rPr>
                <w:sz w:val="22"/>
                <w:szCs w:val="22"/>
                <w:lang w:val="en-IE"/>
              </w:rPr>
              <w:t>10-25</w:t>
            </w:r>
          </w:p>
        </w:tc>
        <w:tc>
          <w:tcPr>
            <w:tcW w:w="1800" w:type="dxa"/>
            <w:tcBorders>
              <w:top w:val="single" w:sz="4" w:space="0" w:color="auto"/>
              <w:left w:val="single" w:sz="4" w:space="0" w:color="auto"/>
              <w:bottom w:val="single" w:sz="4" w:space="0" w:color="auto"/>
              <w:right w:val="single" w:sz="4" w:space="0" w:color="auto"/>
            </w:tcBorders>
          </w:tcPr>
          <w:p w:rsidR="00845B11" w:rsidRPr="00F10D0F" w:rsidRDefault="00845B11" w:rsidP="00E10566">
            <w:pPr>
              <w:jc w:val="both"/>
              <w:rPr>
                <w:sz w:val="22"/>
                <w:szCs w:val="22"/>
                <w:lang w:val="en-IE"/>
              </w:rPr>
            </w:pPr>
            <w:r w:rsidRPr="00F10D0F">
              <w:rPr>
                <w:sz w:val="22"/>
                <w:szCs w:val="22"/>
                <w:lang w:val="en-IE"/>
              </w:rPr>
              <w:t>15-25</w:t>
            </w:r>
          </w:p>
        </w:tc>
      </w:tr>
      <w:tr w:rsidR="00845B11" w:rsidRPr="00372579" w:rsidTr="00E10566">
        <w:tc>
          <w:tcPr>
            <w:tcW w:w="4068" w:type="dxa"/>
            <w:tcBorders>
              <w:top w:val="single" w:sz="4" w:space="0" w:color="auto"/>
              <w:left w:val="single" w:sz="4" w:space="0" w:color="auto"/>
              <w:bottom w:val="single" w:sz="4" w:space="0" w:color="auto"/>
              <w:right w:val="single" w:sz="4" w:space="0" w:color="auto"/>
            </w:tcBorders>
            <w:shd w:val="clear" w:color="auto" w:fill="auto"/>
          </w:tcPr>
          <w:p w:rsidR="00845B11" w:rsidRPr="000D4152" w:rsidRDefault="00845B11" w:rsidP="00E10566">
            <w:pPr>
              <w:jc w:val="both"/>
              <w:rPr>
                <w:sz w:val="22"/>
                <w:szCs w:val="22"/>
                <w:lang w:val="en-IE"/>
              </w:rPr>
            </w:pPr>
            <w:r w:rsidRPr="000D4152">
              <w:rPr>
                <w:sz w:val="22"/>
                <w:szCs w:val="22"/>
                <w:lang w:val="en-IE"/>
              </w:rPr>
              <w:t>Aberdeen Global II - Emerging Europe Bond Fund</w:t>
            </w:r>
          </w:p>
          <w:p w:rsidR="00845B11" w:rsidRPr="000D4152"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20-80</w:t>
            </w: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15-50</w:t>
            </w:r>
          </w:p>
        </w:tc>
      </w:tr>
      <w:tr w:rsidR="00845B11" w:rsidRPr="00372579" w:rsidTr="00E10566">
        <w:tc>
          <w:tcPr>
            <w:tcW w:w="4068" w:type="dxa"/>
            <w:tcBorders>
              <w:top w:val="single" w:sz="4" w:space="0" w:color="auto"/>
              <w:left w:val="single" w:sz="4" w:space="0" w:color="auto"/>
              <w:bottom w:val="single" w:sz="4" w:space="0" w:color="auto"/>
              <w:right w:val="single" w:sz="4" w:space="0" w:color="auto"/>
            </w:tcBorders>
            <w:shd w:val="clear" w:color="auto" w:fill="auto"/>
          </w:tcPr>
          <w:p w:rsidR="00845B11" w:rsidRPr="000D4152" w:rsidRDefault="00845B11" w:rsidP="00E10566">
            <w:pPr>
              <w:jc w:val="both"/>
              <w:rPr>
                <w:sz w:val="22"/>
                <w:szCs w:val="22"/>
                <w:lang w:val="en-IE"/>
              </w:rPr>
            </w:pPr>
            <w:r w:rsidRPr="000D4152">
              <w:rPr>
                <w:sz w:val="22"/>
                <w:szCs w:val="22"/>
                <w:lang w:val="en-IE"/>
              </w:rPr>
              <w:t>Aberdeen Global II - Euro Bond Fund</w:t>
            </w:r>
          </w:p>
          <w:p w:rsidR="00845B11" w:rsidRPr="000D4152"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15-50</w:t>
            </w: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10-50</w:t>
            </w:r>
          </w:p>
        </w:tc>
      </w:tr>
      <w:tr w:rsidR="00845B11" w:rsidRPr="00372579" w:rsidTr="00E10566">
        <w:tc>
          <w:tcPr>
            <w:tcW w:w="4068" w:type="dxa"/>
            <w:tcBorders>
              <w:top w:val="single" w:sz="4" w:space="0" w:color="auto"/>
              <w:left w:val="single" w:sz="4" w:space="0" w:color="auto"/>
              <w:bottom w:val="single" w:sz="4" w:space="0" w:color="auto"/>
              <w:right w:val="single" w:sz="4" w:space="0" w:color="auto"/>
            </w:tcBorders>
            <w:shd w:val="clear" w:color="auto" w:fill="auto"/>
          </w:tcPr>
          <w:p w:rsidR="00845B11" w:rsidRPr="000D4152" w:rsidRDefault="00845B11" w:rsidP="00E10566">
            <w:pPr>
              <w:jc w:val="both"/>
              <w:rPr>
                <w:sz w:val="22"/>
                <w:szCs w:val="22"/>
                <w:lang w:val="en-IE"/>
              </w:rPr>
            </w:pPr>
            <w:r w:rsidRPr="000D4152">
              <w:rPr>
                <w:sz w:val="22"/>
                <w:szCs w:val="22"/>
                <w:lang w:val="en-IE"/>
              </w:rPr>
              <w:t xml:space="preserve">Aberdeen Global II - Euro Government Bond Fund </w:t>
            </w:r>
          </w:p>
          <w:p w:rsidR="00845B11" w:rsidRPr="000D4152"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15-35</w:t>
            </w: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10-35</w:t>
            </w:r>
          </w:p>
        </w:tc>
      </w:tr>
      <w:tr w:rsidR="00845B11" w:rsidRPr="00372579" w:rsidTr="00E10566">
        <w:tc>
          <w:tcPr>
            <w:tcW w:w="4068" w:type="dxa"/>
            <w:tcBorders>
              <w:top w:val="single" w:sz="4" w:space="0" w:color="auto"/>
              <w:left w:val="single" w:sz="4" w:space="0" w:color="auto"/>
              <w:bottom w:val="single" w:sz="4" w:space="0" w:color="auto"/>
              <w:right w:val="single" w:sz="4" w:space="0" w:color="auto"/>
            </w:tcBorders>
            <w:shd w:val="clear" w:color="auto" w:fill="auto"/>
          </w:tcPr>
          <w:p w:rsidR="00845B11" w:rsidRPr="000D4152" w:rsidRDefault="00845B11" w:rsidP="00E10566">
            <w:pPr>
              <w:jc w:val="both"/>
              <w:rPr>
                <w:sz w:val="22"/>
                <w:szCs w:val="22"/>
                <w:lang w:val="en-IE"/>
              </w:rPr>
            </w:pPr>
            <w:r w:rsidRPr="000D4152">
              <w:rPr>
                <w:sz w:val="22"/>
                <w:szCs w:val="22"/>
                <w:lang w:val="en-IE"/>
              </w:rPr>
              <w:t xml:space="preserve">Aberdeen Global II - Euro High Yield Bond Fund </w:t>
            </w:r>
          </w:p>
          <w:p w:rsidR="00845B11" w:rsidRPr="000D4152"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100-150</w:t>
            </w: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25-50</w:t>
            </w:r>
          </w:p>
        </w:tc>
      </w:tr>
      <w:tr w:rsidR="00845B11" w:rsidRPr="00372579" w:rsidTr="00E10566">
        <w:tc>
          <w:tcPr>
            <w:tcW w:w="4068" w:type="dxa"/>
            <w:tcBorders>
              <w:top w:val="single" w:sz="4" w:space="0" w:color="auto"/>
              <w:left w:val="single" w:sz="4" w:space="0" w:color="auto"/>
              <w:bottom w:val="single" w:sz="4" w:space="0" w:color="auto"/>
              <w:right w:val="single" w:sz="4" w:space="0" w:color="auto"/>
            </w:tcBorders>
            <w:shd w:val="clear" w:color="auto" w:fill="auto"/>
          </w:tcPr>
          <w:p w:rsidR="00845B11" w:rsidRPr="000D4152" w:rsidRDefault="00845B11" w:rsidP="00E10566">
            <w:pPr>
              <w:jc w:val="both"/>
              <w:rPr>
                <w:sz w:val="22"/>
                <w:szCs w:val="22"/>
                <w:lang w:val="en-IE"/>
              </w:rPr>
            </w:pPr>
            <w:r w:rsidRPr="000D4152">
              <w:rPr>
                <w:sz w:val="22"/>
                <w:szCs w:val="22"/>
                <w:lang w:val="en-IE"/>
              </w:rPr>
              <w:t>Aberdeen Global II - Global Bond Fund</w:t>
            </w:r>
          </w:p>
          <w:p w:rsidR="00845B11" w:rsidRPr="000D4152"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50-200</w:t>
            </w: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60-180</w:t>
            </w:r>
          </w:p>
          <w:p w:rsidR="00845B11" w:rsidRPr="000D4152" w:rsidRDefault="00845B11" w:rsidP="00E10566">
            <w:pPr>
              <w:jc w:val="both"/>
              <w:rPr>
                <w:sz w:val="22"/>
                <w:szCs w:val="22"/>
                <w:lang w:val="en-IE"/>
              </w:rPr>
            </w:pPr>
          </w:p>
        </w:tc>
      </w:tr>
      <w:tr w:rsidR="00845B11" w:rsidRPr="00372579" w:rsidTr="00E10566">
        <w:tc>
          <w:tcPr>
            <w:tcW w:w="4068" w:type="dxa"/>
            <w:tcBorders>
              <w:top w:val="single" w:sz="4" w:space="0" w:color="auto"/>
              <w:left w:val="single" w:sz="4" w:space="0" w:color="auto"/>
              <w:bottom w:val="single" w:sz="4" w:space="0" w:color="auto"/>
              <w:right w:val="single" w:sz="4" w:space="0" w:color="auto"/>
            </w:tcBorders>
            <w:shd w:val="clear" w:color="auto" w:fill="auto"/>
          </w:tcPr>
          <w:p w:rsidR="00845B11" w:rsidRPr="000D4152" w:rsidRDefault="00845B11" w:rsidP="00E10566">
            <w:pPr>
              <w:jc w:val="both"/>
              <w:rPr>
                <w:sz w:val="22"/>
                <w:szCs w:val="22"/>
                <w:lang w:val="en-IE"/>
              </w:rPr>
            </w:pPr>
            <w:r w:rsidRPr="000D4152">
              <w:rPr>
                <w:sz w:val="22"/>
                <w:szCs w:val="22"/>
                <w:lang w:val="en-IE"/>
              </w:rPr>
              <w:t>Aberdeen Global II - Global Government Bond Fund</w:t>
            </w:r>
          </w:p>
          <w:p w:rsidR="00845B11" w:rsidRPr="000D4152"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50-200</w:t>
            </w: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20-180</w:t>
            </w:r>
          </w:p>
        </w:tc>
      </w:tr>
      <w:tr w:rsidR="00845B11" w:rsidRPr="00372579" w:rsidTr="00E10566">
        <w:tc>
          <w:tcPr>
            <w:tcW w:w="4068" w:type="dxa"/>
            <w:tcBorders>
              <w:top w:val="single" w:sz="4" w:space="0" w:color="auto"/>
              <w:left w:val="single" w:sz="4" w:space="0" w:color="auto"/>
              <w:bottom w:val="single" w:sz="4" w:space="0" w:color="auto"/>
              <w:right w:val="single" w:sz="4" w:space="0" w:color="auto"/>
            </w:tcBorders>
            <w:shd w:val="clear" w:color="auto" w:fill="auto"/>
          </w:tcPr>
          <w:p w:rsidR="00845B11" w:rsidRPr="00CA628B" w:rsidRDefault="00845B11" w:rsidP="00E10566">
            <w:pPr>
              <w:jc w:val="both"/>
              <w:rPr>
                <w:sz w:val="22"/>
                <w:szCs w:val="22"/>
                <w:lang w:val="en-IE"/>
              </w:rPr>
            </w:pPr>
            <w:r w:rsidRPr="00CA628B">
              <w:rPr>
                <w:sz w:val="22"/>
                <w:szCs w:val="22"/>
                <w:lang w:val="en-IE"/>
              </w:rPr>
              <w:t>Aberdeen Global II - Global High Yield Bond Fund</w:t>
            </w:r>
          </w:p>
          <w:p w:rsidR="00845B11" w:rsidRPr="00CA628B"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CA628B" w:rsidRDefault="00845B11" w:rsidP="00E10566">
            <w:pPr>
              <w:jc w:val="both"/>
              <w:rPr>
                <w:sz w:val="22"/>
                <w:szCs w:val="22"/>
                <w:lang w:val="en-IE"/>
              </w:rPr>
            </w:pPr>
            <w:r w:rsidRPr="00CA628B">
              <w:rPr>
                <w:sz w:val="22"/>
                <w:szCs w:val="22"/>
                <w:lang w:val="en-IE"/>
              </w:rPr>
              <w:t>25-70</w:t>
            </w:r>
          </w:p>
        </w:tc>
        <w:tc>
          <w:tcPr>
            <w:tcW w:w="1800" w:type="dxa"/>
            <w:tcBorders>
              <w:top w:val="single" w:sz="4" w:space="0" w:color="auto"/>
              <w:left w:val="single" w:sz="4" w:space="0" w:color="auto"/>
              <w:bottom w:val="single" w:sz="4" w:space="0" w:color="auto"/>
              <w:right w:val="single" w:sz="4" w:space="0" w:color="auto"/>
            </w:tcBorders>
          </w:tcPr>
          <w:p w:rsidR="00845B11" w:rsidRPr="00CA628B" w:rsidRDefault="00845B11" w:rsidP="00E10566">
            <w:pPr>
              <w:jc w:val="both"/>
              <w:rPr>
                <w:sz w:val="22"/>
                <w:szCs w:val="22"/>
                <w:lang w:val="en-IE"/>
              </w:rPr>
            </w:pPr>
            <w:r w:rsidRPr="00CA628B">
              <w:rPr>
                <w:sz w:val="22"/>
                <w:szCs w:val="22"/>
                <w:lang w:val="en-IE"/>
              </w:rPr>
              <w:t>5-15</w:t>
            </w:r>
          </w:p>
        </w:tc>
      </w:tr>
      <w:tr w:rsidR="00845B11" w:rsidRPr="00372579" w:rsidTr="00E10566">
        <w:tc>
          <w:tcPr>
            <w:tcW w:w="4068" w:type="dxa"/>
            <w:tcBorders>
              <w:top w:val="single" w:sz="4" w:space="0" w:color="auto"/>
              <w:left w:val="single" w:sz="4" w:space="0" w:color="auto"/>
              <w:bottom w:val="single" w:sz="4" w:space="0" w:color="auto"/>
              <w:right w:val="single" w:sz="4" w:space="0" w:color="auto"/>
            </w:tcBorders>
            <w:shd w:val="clear" w:color="auto" w:fill="auto"/>
          </w:tcPr>
          <w:p w:rsidR="00845B11" w:rsidRPr="00CA628B" w:rsidRDefault="00845B11" w:rsidP="00E10566">
            <w:pPr>
              <w:jc w:val="both"/>
              <w:rPr>
                <w:sz w:val="22"/>
                <w:szCs w:val="22"/>
                <w:lang w:val="en-IE"/>
              </w:rPr>
            </w:pPr>
            <w:r>
              <w:rPr>
                <w:sz w:val="22"/>
                <w:szCs w:val="22"/>
                <w:lang w:val="en-IE"/>
              </w:rPr>
              <w:t>Aberdeen Global II – Global Sovereign Opportunities Bond Fund</w:t>
            </w:r>
          </w:p>
        </w:tc>
        <w:tc>
          <w:tcPr>
            <w:tcW w:w="1800" w:type="dxa"/>
            <w:tcBorders>
              <w:top w:val="single" w:sz="4" w:space="0" w:color="auto"/>
              <w:left w:val="single" w:sz="4" w:space="0" w:color="auto"/>
              <w:bottom w:val="single" w:sz="4" w:space="0" w:color="auto"/>
              <w:right w:val="single" w:sz="4" w:space="0" w:color="auto"/>
            </w:tcBorders>
          </w:tcPr>
          <w:p w:rsidR="00845B11" w:rsidRPr="00CA628B" w:rsidRDefault="00845B11" w:rsidP="00E10566">
            <w:pPr>
              <w:jc w:val="both"/>
              <w:rPr>
                <w:sz w:val="22"/>
                <w:szCs w:val="22"/>
                <w:lang w:val="en-IE"/>
              </w:rPr>
            </w:pPr>
            <w:r>
              <w:rPr>
                <w:sz w:val="22"/>
                <w:szCs w:val="22"/>
                <w:lang w:val="en-IE"/>
              </w:rPr>
              <w:t>40-100</w:t>
            </w:r>
          </w:p>
        </w:tc>
        <w:tc>
          <w:tcPr>
            <w:tcW w:w="1800" w:type="dxa"/>
            <w:tcBorders>
              <w:top w:val="single" w:sz="4" w:space="0" w:color="auto"/>
              <w:left w:val="single" w:sz="4" w:space="0" w:color="auto"/>
              <w:bottom w:val="single" w:sz="4" w:space="0" w:color="auto"/>
              <w:right w:val="single" w:sz="4" w:space="0" w:color="auto"/>
            </w:tcBorders>
          </w:tcPr>
          <w:p w:rsidR="00845B11" w:rsidRPr="00CA628B" w:rsidRDefault="00845B11" w:rsidP="00E10566">
            <w:pPr>
              <w:jc w:val="both"/>
              <w:rPr>
                <w:sz w:val="22"/>
                <w:szCs w:val="22"/>
                <w:lang w:val="en-IE"/>
              </w:rPr>
            </w:pPr>
            <w:r>
              <w:rPr>
                <w:sz w:val="22"/>
                <w:szCs w:val="22"/>
                <w:lang w:val="en-IE"/>
              </w:rPr>
              <w:t>15-25</w:t>
            </w:r>
          </w:p>
        </w:tc>
      </w:tr>
      <w:tr w:rsidR="00845B11" w:rsidRPr="00372579" w:rsidTr="00E10566">
        <w:tc>
          <w:tcPr>
            <w:tcW w:w="4068" w:type="dxa"/>
            <w:tcBorders>
              <w:top w:val="single" w:sz="4" w:space="0" w:color="auto"/>
              <w:left w:val="single" w:sz="4" w:space="0" w:color="auto"/>
              <w:bottom w:val="single" w:sz="4" w:space="0" w:color="auto"/>
              <w:right w:val="single" w:sz="4" w:space="0" w:color="auto"/>
            </w:tcBorders>
            <w:shd w:val="clear" w:color="auto" w:fill="auto"/>
          </w:tcPr>
          <w:p w:rsidR="00845B11" w:rsidRPr="000D4152" w:rsidRDefault="00845B11" w:rsidP="00E10566">
            <w:pPr>
              <w:jc w:val="both"/>
              <w:rPr>
                <w:sz w:val="22"/>
                <w:szCs w:val="22"/>
                <w:lang w:val="en-IE"/>
              </w:rPr>
            </w:pPr>
            <w:r w:rsidRPr="000D4152">
              <w:rPr>
                <w:sz w:val="22"/>
                <w:szCs w:val="22"/>
                <w:lang w:val="en-IE"/>
              </w:rPr>
              <w:t xml:space="preserve">Aberdeen Global II - Sterling Index Linked </w:t>
            </w:r>
            <w:r w:rsidRPr="000D4152">
              <w:rPr>
                <w:sz w:val="22"/>
                <w:szCs w:val="22"/>
                <w:lang w:val="en-IE"/>
              </w:rPr>
              <w:lastRenderedPageBreak/>
              <w:t>Bond Fund</w:t>
            </w:r>
          </w:p>
          <w:p w:rsidR="00845B11" w:rsidRPr="000D4152"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lastRenderedPageBreak/>
              <w:t>150-400</w:t>
            </w: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50-320</w:t>
            </w:r>
          </w:p>
        </w:tc>
      </w:tr>
      <w:tr w:rsidR="00845B11" w:rsidRPr="00372579" w:rsidTr="00E10566">
        <w:tc>
          <w:tcPr>
            <w:tcW w:w="4068" w:type="dxa"/>
            <w:tcBorders>
              <w:top w:val="single" w:sz="4" w:space="0" w:color="auto"/>
              <w:left w:val="single" w:sz="4" w:space="0" w:color="auto"/>
              <w:bottom w:val="single" w:sz="4" w:space="0" w:color="auto"/>
              <w:right w:val="single" w:sz="4" w:space="0" w:color="auto"/>
            </w:tcBorders>
            <w:shd w:val="clear" w:color="auto" w:fill="auto"/>
          </w:tcPr>
          <w:p w:rsidR="00845B11" w:rsidRPr="000D4152" w:rsidRDefault="00845B11" w:rsidP="00E10566">
            <w:pPr>
              <w:jc w:val="both"/>
              <w:rPr>
                <w:sz w:val="22"/>
                <w:szCs w:val="22"/>
                <w:lang w:val="en-IE"/>
              </w:rPr>
            </w:pPr>
            <w:r w:rsidRPr="000D4152">
              <w:rPr>
                <w:sz w:val="22"/>
                <w:szCs w:val="22"/>
                <w:lang w:val="en-IE"/>
              </w:rPr>
              <w:lastRenderedPageBreak/>
              <w:t>Aberdeen Global II - Sterling Long Dated Government Bond Fund</w:t>
            </w:r>
          </w:p>
          <w:p w:rsidR="00845B11" w:rsidRPr="000D4152"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150-400</w:t>
            </w: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50-320</w:t>
            </w:r>
          </w:p>
        </w:tc>
      </w:tr>
      <w:tr w:rsidR="00845B11" w:rsidRPr="00372579" w:rsidTr="00E10566">
        <w:tc>
          <w:tcPr>
            <w:tcW w:w="4068" w:type="dxa"/>
            <w:tcBorders>
              <w:top w:val="single" w:sz="4" w:space="0" w:color="auto"/>
              <w:left w:val="single" w:sz="4" w:space="0" w:color="auto"/>
              <w:bottom w:val="single" w:sz="4" w:space="0" w:color="auto"/>
              <w:right w:val="single" w:sz="4" w:space="0" w:color="auto"/>
            </w:tcBorders>
            <w:shd w:val="clear" w:color="auto" w:fill="auto"/>
          </w:tcPr>
          <w:p w:rsidR="00845B11" w:rsidRPr="000D4152" w:rsidRDefault="00845B11" w:rsidP="00E10566">
            <w:pPr>
              <w:jc w:val="both"/>
              <w:rPr>
                <w:sz w:val="22"/>
                <w:szCs w:val="22"/>
                <w:lang w:val="en-IE"/>
              </w:rPr>
            </w:pPr>
            <w:r w:rsidRPr="000D4152">
              <w:rPr>
                <w:sz w:val="22"/>
                <w:szCs w:val="22"/>
                <w:lang w:val="en-IE"/>
              </w:rPr>
              <w:t>Aberdeen Global II - Sterling Long Dated Credit Bond Fund</w:t>
            </w:r>
          </w:p>
          <w:p w:rsidR="00845B11" w:rsidRPr="000D4152"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40-140</w:t>
            </w: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20-100</w:t>
            </w:r>
          </w:p>
        </w:tc>
      </w:tr>
      <w:tr w:rsidR="00845B11" w:rsidRPr="00372579" w:rsidTr="00E10566">
        <w:tc>
          <w:tcPr>
            <w:tcW w:w="4068" w:type="dxa"/>
            <w:tcBorders>
              <w:top w:val="single" w:sz="4" w:space="0" w:color="auto"/>
              <w:left w:val="single" w:sz="4" w:space="0" w:color="auto"/>
              <w:bottom w:val="single" w:sz="4" w:space="0" w:color="auto"/>
              <w:right w:val="single" w:sz="4" w:space="0" w:color="auto"/>
            </w:tcBorders>
            <w:shd w:val="clear" w:color="auto" w:fill="auto"/>
          </w:tcPr>
          <w:p w:rsidR="00845B11" w:rsidRPr="000D4152" w:rsidRDefault="00845B11" w:rsidP="00E10566">
            <w:pPr>
              <w:jc w:val="both"/>
              <w:rPr>
                <w:sz w:val="22"/>
                <w:szCs w:val="22"/>
                <w:lang w:val="en-IE"/>
              </w:rPr>
            </w:pPr>
            <w:r w:rsidRPr="000D4152">
              <w:rPr>
                <w:sz w:val="22"/>
                <w:szCs w:val="22"/>
                <w:lang w:val="en-IE"/>
              </w:rPr>
              <w:t>Aberdeen Global II - Asia Pacific Multi Asset Fund</w:t>
            </w:r>
          </w:p>
          <w:p w:rsidR="00845B11" w:rsidRPr="000D4152"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50-100</w:t>
            </w: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30-45</w:t>
            </w:r>
          </w:p>
        </w:tc>
      </w:tr>
      <w:tr w:rsidR="00845B11" w:rsidRPr="00372579" w:rsidTr="00E10566">
        <w:tc>
          <w:tcPr>
            <w:tcW w:w="4068" w:type="dxa"/>
            <w:tcBorders>
              <w:top w:val="single" w:sz="4" w:space="0" w:color="auto"/>
              <w:left w:val="single" w:sz="4" w:space="0" w:color="auto"/>
              <w:bottom w:val="single" w:sz="4" w:space="0" w:color="auto"/>
              <w:right w:val="single" w:sz="4" w:space="0" w:color="auto"/>
            </w:tcBorders>
            <w:shd w:val="clear" w:color="auto" w:fill="auto"/>
          </w:tcPr>
          <w:p w:rsidR="00845B11" w:rsidRPr="000D4152" w:rsidRDefault="00845B11" w:rsidP="00E10566">
            <w:pPr>
              <w:jc w:val="both"/>
              <w:rPr>
                <w:sz w:val="22"/>
                <w:szCs w:val="22"/>
                <w:lang w:val="en-IE"/>
              </w:rPr>
            </w:pPr>
            <w:r w:rsidRPr="000D4152">
              <w:rPr>
                <w:sz w:val="22"/>
                <w:szCs w:val="22"/>
                <w:lang w:val="en-IE"/>
              </w:rPr>
              <w:t>Aberdeen Global II - US Dollar Short Term Bond Fund</w:t>
            </w:r>
          </w:p>
          <w:p w:rsidR="00845B11" w:rsidRPr="000D4152"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15-25</w:t>
            </w:r>
          </w:p>
          <w:p w:rsidR="00845B11" w:rsidRPr="000D4152"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0-20</w:t>
            </w:r>
          </w:p>
        </w:tc>
      </w:tr>
      <w:tr w:rsidR="00845B11" w:rsidRPr="00372579" w:rsidTr="00E10566">
        <w:tc>
          <w:tcPr>
            <w:tcW w:w="4068" w:type="dxa"/>
            <w:tcBorders>
              <w:top w:val="single" w:sz="4" w:space="0" w:color="auto"/>
              <w:left w:val="single" w:sz="4" w:space="0" w:color="auto"/>
              <w:bottom w:val="single" w:sz="4" w:space="0" w:color="auto"/>
              <w:right w:val="single" w:sz="4" w:space="0" w:color="auto"/>
            </w:tcBorders>
            <w:shd w:val="clear" w:color="auto" w:fill="auto"/>
          </w:tcPr>
          <w:p w:rsidR="00845B11" w:rsidRPr="000D4152" w:rsidRDefault="00845B11" w:rsidP="00E10566">
            <w:pPr>
              <w:jc w:val="both"/>
              <w:rPr>
                <w:sz w:val="22"/>
                <w:szCs w:val="22"/>
                <w:lang w:val="en-IE"/>
              </w:rPr>
            </w:pPr>
            <w:r w:rsidRPr="000D4152">
              <w:rPr>
                <w:sz w:val="22"/>
                <w:szCs w:val="22"/>
                <w:lang w:val="en-IE"/>
              </w:rPr>
              <w:t>Aberdeen Global II - Sterling Bond Fund</w:t>
            </w:r>
          </w:p>
          <w:p w:rsidR="00845B11" w:rsidRPr="000D4152"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100-400</w:t>
            </w: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50-320</w:t>
            </w:r>
          </w:p>
        </w:tc>
      </w:tr>
      <w:tr w:rsidR="00845B11" w:rsidRPr="00372579" w:rsidTr="00E10566">
        <w:tc>
          <w:tcPr>
            <w:tcW w:w="4068" w:type="dxa"/>
            <w:tcBorders>
              <w:top w:val="single" w:sz="4" w:space="0" w:color="auto"/>
              <w:left w:val="single" w:sz="4" w:space="0" w:color="auto"/>
              <w:bottom w:val="single" w:sz="4" w:space="0" w:color="auto"/>
              <w:right w:val="single" w:sz="4" w:space="0" w:color="auto"/>
            </w:tcBorders>
            <w:shd w:val="clear" w:color="auto" w:fill="auto"/>
          </w:tcPr>
          <w:p w:rsidR="00845B11" w:rsidRPr="000D4152" w:rsidRDefault="00845B11" w:rsidP="00E10566">
            <w:pPr>
              <w:jc w:val="both"/>
              <w:rPr>
                <w:sz w:val="22"/>
                <w:szCs w:val="22"/>
                <w:lang w:val="en-IE"/>
              </w:rPr>
            </w:pPr>
            <w:r w:rsidRPr="000D4152">
              <w:rPr>
                <w:sz w:val="22"/>
                <w:szCs w:val="22"/>
                <w:lang w:val="en-IE"/>
              </w:rPr>
              <w:t>Aberdeen Global II - Sterling Government Bond Fund</w:t>
            </w:r>
          </w:p>
          <w:p w:rsidR="00845B11" w:rsidRPr="000D4152"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150-380</w:t>
            </w: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50-320</w:t>
            </w:r>
          </w:p>
        </w:tc>
      </w:tr>
      <w:tr w:rsidR="00845B11" w:rsidRPr="00372579" w:rsidTr="00E10566">
        <w:tc>
          <w:tcPr>
            <w:tcW w:w="4068" w:type="dxa"/>
            <w:tcBorders>
              <w:top w:val="single" w:sz="4" w:space="0" w:color="auto"/>
              <w:left w:val="single" w:sz="4" w:space="0" w:color="auto"/>
              <w:bottom w:val="single" w:sz="4" w:space="0" w:color="auto"/>
              <w:right w:val="single" w:sz="4" w:space="0" w:color="auto"/>
            </w:tcBorders>
            <w:shd w:val="clear" w:color="auto" w:fill="auto"/>
          </w:tcPr>
          <w:p w:rsidR="00845B11" w:rsidRPr="000D4152" w:rsidRDefault="00845B11" w:rsidP="00E10566">
            <w:pPr>
              <w:jc w:val="both"/>
              <w:rPr>
                <w:sz w:val="22"/>
                <w:szCs w:val="22"/>
                <w:lang w:val="en-IE"/>
              </w:rPr>
            </w:pPr>
            <w:r w:rsidRPr="000D4152">
              <w:rPr>
                <w:sz w:val="22"/>
                <w:szCs w:val="22"/>
                <w:lang w:val="en-IE"/>
              </w:rPr>
              <w:t>Aberdeen Global II - Sterling Credit Bond Fund</w:t>
            </w:r>
          </w:p>
          <w:p w:rsidR="00845B11" w:rsidRPr="000D4152"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30-120</w:t>
            </w: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20-100</w:t>
            </w:r>
          </w:p>
        </w:tc>
      </w:tr>
      <w:tr w:rsidR="00845B11" w:rsidRPr="00372579" w:rsidTr="00E10566">
        <w:tc>
          <w:tcPr>
            <w:tcW w:w="4068" w:type="dxa"/>
            <w:tcBorders>
              <w:top w:val="single" w:sz="4" w:space="0" w:color="auto"/>
              <w:left w:val="single" w:sz="4" w:space="0" w:color="auto"/>
              <w:bottom w:val="single" w:sz="4" w:space="0" w:color="auto"/>
              <w:right w:val="single" w:sz="4" w:space="0" w:color="auto"/>
            </w:tcBorders>
            <w:shd w:val="clear" w:color="auto" w:fill="auto"/>
          </w:tcPr>
          <w:p w:rsidR="00845B11" w:rsidRPr="000D4152" w:rsidRDefault="00845B11" w:rsidP="00E10566">
            <w:pPr>
              <w:jc w:val="both"/>
              <w:rPr>
                <w:sz w:val="22"/>
                <w:szCs w:val="22"/>
                <w:lang w:val="en-IE"/>
              </w:rPr>
            </w:pPr>
            <w:r w:rsidRPr="000D4152">
              <w:rPr>
                <w:sz w:val="22"/>
                <w:szCs w:val="22"/>
                <w:lang w:val="en-IE"/>
              </w:rPr>
              <w:t>Aberdeen Global II - US Dollar High Yield Bond Fund</w:t>
            </w:r>
          </w:p>
          <w:p w:rsidR="00845B11" w:rsidRPr="000D4152" w:rsidRDefault="00845B11" w:rsidP="00E10566">
            <w:pPr>
              <w:jc w:val="both"/>
              <w:rPr>
                <w:sz w:val="22"/>
                <w:szCs w:val="22"/>
                <w:lang w:val="en-IE"/>
              </w:rPr>
            </w:pP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15-25</w:t>
            </w:r>
          </w:p>
        </w:tc>
        <w:tc>
          <w:tcPr>
            <w:tcW w:w="1800" w:type="dxa"/>
            <w:tcBorders>
              <w:top w:val="single" w:sz="4" w:space="0" w:color="auto"/>
              <w:left w:val="single" w:sz="4" w:space="0" w:color="auto"/>
              <w:bottom w:val="single" w:sz="4" w:space="0" w:color="auto"/>
              <w:right w:val="single" w:sz="4" w:space="0" w:color="auto"/>
            </w:tcBorders>
          </w:tcPr>
          <w:p w:rsidR="00845B11" w:rsidRPr="000D4152" w:rsidRDefault="00845B11" w:rsidP="00E10566">
            <w:pPr>
              <w:jc w:val="both"/>
              <w:rPr>
                <w:sz w:val="22"/>
                <w:szCs w:val="22"/>
                <w:lang w:val="en-IE"/>
              </w:rPr>
            </w:pPr>
            <w:r w:rsidRPr="000D4152">
              <w:rPr>
                <w:sz w:val="22"/>
                <w:szCs w:val="22"/>
                <w:lang w:val="en-IE"/>
              </w:rPr>
              <w:t>0-20</w:t>
            </w:r>
          </w:p>
        </w:tc>
      </w:tr>
    </w:tbl>
    <w:p w:rsidR="00845B11" w:rsidRPr="00AA19DF" w:rsidRDefault="00845B11" w:rsidP="00845B11">
      <w:pPr>
        <w:jc w:val="both"/>
        <w:rPr>
          <w:sz w:val="22"/>
          <w:szCs w:val="22"/>
        </w:rPr>
      </w:pPr>
    </w:p>
    <w:p w:rsidR="00845B11" w:rsidRDefault="00845B11" w:rsidP="00845B11">
      <w:pPr>
        <w:pStyle w:val="BodyTextIndent2"/>
        <w:widowControl/>
        <w:ind w:left="0"/>
        <w:jc w:val="both"/>
        <w:rPr>
          <w:i w:val="0"/>
          <w:iCs w:val="0"/>
          <w:sz w:val="22"/>
          <w:szCs w:val="22"/>
        </w:rPr>
      </w:pPr>
      <w:r>
        <w:rPr>
          <w:i w:val="0"/>
          <w:iCs w:val="0"/>
          <w:sz w:val="22"/>
          <w:szCs w:val="22"/>
        </w:rPr>
        <w:t>For the avoidance of doubt,</w:t>
      </w:r>
      <w:r w:rsidRPr="00A36CCB">
        <w:rPr>
          <w:i w:val="0"/>
          <w:iCs w:val="0"/>
          <w:sz w:val="22"/>
          <w:szCs w:val="22"/>
        </w:rPr>
        <w:t xml:space="preserve"> these increases of global exposures </w:t>
      </w:r>
      <w:r>
        <w:rPr>
          <w:i w:val="0"/>
          <w:iCs w:val="0"/>
          <w:sz w:val="22"/>
          <w:szCs w:val="22"/>
        </w:rPr>
        <w:t xml:space="preserve">do not </w:t>
      </w:r>
      <w:r w:rsidRPr="00A36CCB">
        <w:rPr>
          <w:i w:val="0"/>
          <w:iCs w:val="0"/>
          <w:sz w:val="22"/>
          <w:szCs w:val="22"/>
        </w:rPr>
        <w:t>imply a change of the investment approach of the sub-funds concerned.</w:t>
      </w:r>
    </w:p>
    <w:p w:rsidR="00845B11" w:rsidRDefault="00845B11" w:rsidP="00845B11">
      <w:pPr>
        <w:pStyle w:val="BodyTextIndent2"/>
        <w:widowControl/>
        <w:ind w:left="0"/>
        <w:jc w:val="both"/>
        <w:rPr>
          <w:i w:val="0"/>
          <w:iCs w:val="0"/>
          <w:sz w:val="22"/>
          <w:szCs w:val="22"/>
        </w:rPr>
      </w:pPr>
    </w:p>
    <w:p w:rsidR="00845B11" w:rsidRPr="0077206A" w:rsidRDefault="00845B11" w:rsidP="00845B11">
      <w:pPr>
        <w:pStyle w:val="BodyTextIndent2"/>
        <w:widowControl/>
        <w:ind w:left="0"/>
        <w:jc w:val="both"/>
        <w:rPr>
          <w:sz w:val="22"/>
          <w:szCs w:val="22"/>
        </w:rPr>
      </w:pPr>
      <w:r>
        <w:rPr>
          <w:i w:val="0"/>
          <w:iCs w:val="0"/>
          <w:sz w:val="22"/>
          <w:szCs w:val="22"/>
        </w:rPr>
        <w:t>Appendix E of the Prospectus has been updated to reflect reductions in Management Fees of certain sub-funds, as previously notified to investors</w:t>
      </w:r>
      <w:r>
        <w:rPr>
          <w:sz w:val="22"/>
          <w:szCs w:val="22"/>
        </w:rPr>
        <w:t>.</w:t>
      </w:r>
    </w:p>
    <w:p w:rsidR="00845B11" w:rsidRDefault="00845B11" w:rsidP="00845B11">
      <w:pPr>
        <w:pStyle w:val="BodyTextIndent2"/>
        <w:widowControl/>
        <w:ind w:left="0"/>
        <w:jc w:val="both"/>
        <w:rPr>
          <w:i w:val="0"/>
          <w:iCs w:val="0"/>
          <w:sz w:val="22"/>
          <w:szCs w:val="22"/>
        </w:rPr>
      </w:pPr>
    </w:p>
    <w:p w:rsidR="00845B11" w:rsidRDefault="00845B11" w:rsidP="00845B11">
      <w:pPr>
        <w:pStyle w:val="BodyTextIndent2"/>
        <w:widowControl/>
        <w:ind w:left="0"/>
        <w:jc w:val="both"/>
        <w:rPr>
          <w:i w:val="0"/>
          <w:iCs w:val="0"/>
          <w:sz w:val="22"/>
          <w:szCs w:val="22"/>
        </w:rPr>
      </w:pPr>
      <w:r>
        <w:rPr>
          <w:i w:val="0"/>
          <w:iCs w:val="0"/>
          <w:sz w:val="22"/>
          <w:szCs w:val="22"/>
        </w:rPr>
        <w:t>Appendix F of the Prospectus has been upd</w:t>
      </w:r>
      <w:bookmarkStart w:id="19" w:name="_GoBack"/>
      <w:bookmarkEnd w:id="19"/>
      <w:r>
        <w:rPr>
          <w:i w:val="0"/>
          <w:iCs w:val="0"/>
          <w:sz w:val="22"/>
          <w:szCs w:val="22"/>
        </w:rPr>
        <w:t>ated to take into account updates to relevant country specific details.</w:t>
      </w:r>
    </w:p>
    <w:p w:rsidR="00845B11" w:rsidRDefault="00845B11" w:rsidP="00845B11">
      <w:pPr>
        <w:pStyle w:val="BodyTextIndent2"/>
        <w:widowControl/>
        <w:ind w:left="0"/>
        <w:jc w:val="both"/>
        <w:rPr>
          <w:bCs/>
          <w:i w:val="0"/>
          <w:iCs w:val="0"/>
          <w:sz w:val="22"/>
          <w:szCs w:val="22"/>
        </w:rPr>
      </w:pPr>
    </w:p>
    <w:p w:rsidR="00845B11" w:rsidRDefault="00845B11" w:rsidP="00845B11">
      <w:pPr>
        <w:pStyle w:val="BodyTextIndent2"/>
        <w:keepNext/>
        <w:widowControl/>
        <w:ind w:left="0"/>
        <w:jc w:val="both"/>
        <w:rPr>
          <w:b/>
          <w:bCs/>
          <w:i w:val="0"/>
          <w:iCs w:val="0"/>
          <w:sz w:val="22"/>
          <w:szCs w:val="22"/>
        </w:rPr>
      </w:pPr>
      <w:bookmarkStart w:id="20" w:name="_DV_M114"/>
      <w:bookmarkStart w:id="21" w:name="_DV_M117"/>
      <w:bookmarkEnd w:id="20"/>
      <w:bookmarkEnd w:id="21"/>
      <w:r>
        <w:rPr>
          <w:b/>
          <w:bCs/>
          <w:i w:val="0"/>
          <w:iCs w:val="0"/>
          <w:sz w:val="22"/>
          <w:szCs w:val="22"/>
        </w:rPr>
        <w:t xml:space="preserve">Prospectus </w:t>
      </w:r>
    </w:p>
    <w:p w:rsidR="00845B11" w:rsidRDefault="00845B11" w:rsidP="00845B11">
      <w:pPr>
        <w:pStyle w:val="BodyTextIndent2"/>
        <w:keepNext/>
        <w:ind w:left="0"/>
        <w:jc w:val="both"/>
        <w:rPr>
          <w:i w:val="0"/>
          <w:iCs w:val="0"/>
          <w:sz w:val="22"/>
          <w:szCs w:val="22"/>
        </w:rPr>
      </w:pPr>
      <w:bookmarkStart w:id="22" w:name="_DV_M118"/>
      <w:bookmarkEnd w:id="22"/>
      <w:r>
        <w:rPr>
          <w:i w:val="0"/>
          <w:iCs w:val="0"/>
          <w:sz w:val="22"/>
          <w:szCs w:val="22"/>
        </w:rPr>
        <w:t xml:space="preserve">The changes detailed in this letter are reflected in a new Prospectus of Aberdeen Global II to be </w:t>
      </w:r>
      <w:r w:rsidRPr="00F814D0">
        <w:rPr>
          <w:i w:val="0"/>
          <w:iCs w:val="0"/>
          <w:sz w:val="22"/>
          <w:szCs w:val="22"/>
        </w:rPr>
        <w:t xml:space="preserve">dated </w:t>
      </w:r>
      <w:r w:rsidR="00FE1DCE" w:rsidRPr="00F814D0">
        <w:rPr>
          <w:i w:val="0"/>
          <w:sz w:val="22"/>
          <w:szCs w:val="22"/>
        </w:rPr>
        <w:t>March</w:t>
      </w:r>
      <w:r>
        <w:rPr>
          <w:i w:val="0"/>
          <w:sz w:val="22"/>
          <w:szCs w:val="22"/>
        </w:rPr>
        <w:t xml:space="preserve"> 2015</w:t>
      </w:r>
      <w:r>
        <w:rPr>
          <w:i w:val="0"/>
          <w:iCs w:val="0"/>
          <w:sz w:val="22"/>
          <w:szCs w:val="22"/>
        </w:rPr>
        <w:t>.</w:t>
      </w:r>
      <w:r>
        <w:rPr>
          <w:i w:val="0"/>
          <w:iCs w:val="0"/>
          <w:sz w:val="22"/>
          <w:szCs w:val="22"/>
        </w:rPr>
        <w:tab/>
      </w:r>
    </w:p>
    <w:p w:rsidR="00845B11" w:rsidRDefault="00845B11" w:rsidP="00845B11">
      <w:pPr>
        <w:pStyle w:val="BodyTextIndent2"/>
        <w:widowControl/>
        <w:ind w:left="0"/>
        <w:jc w:val="both"/>
        <w:rPr>
          <w:i w:val="0"/>
          <w:iCs w:val="0"/>
          <w:sz w:val="22"/>
          <w:szCs w:val="22"/>
        </w:rPr>
      </w:pPr>
    </w:p>
    <w:p w:rsidR="00845B11" w:rsidRDefault="00845B11" w:rsidP="00845B11">
      <w:pPr>
        <w:pStyle w:val="BodyTextIndent2"/>
        <w:widowControl/>
        <w:ind w:left="0"/>
        <w:jc w:val="both"/>
        <w:rPr>
          <w:i w:val="0"/>
          <w:iCs w:val="0"/>
          <w:sz w:val="22"/>
          <w:szCs w:val="22"/>
        </w:rPr>
      </w:pPr>
      <w:bookmarkStart w:id="23" w:name="_DV_M132"/>
      <w:bookmarkEnd w:id="23"/>
      <w:r>
        <w:rPr>
          <w:i w:val="0"/>
          <w:iCs w:val="0"/>
          <w:sz w:val="22"/>
          <w:szCs w:val="22"/>
        </w:rPr>
        <w:t>Your Board of Directors accepts responsibility for the accuracy of the information contained in this letter. To the best of the knowledge and belief of your Board of Directors (who have taken reasonable care to ensure this is the case) the information contained in this letter is in accordance with the facts and does not omit anything likely to affect the importance of such information.</w:t>
      </w:r>
    </w:p>
    <w:p w:rsidR="00845B11" w:rsidRDefault="00845B11" w:rsidP="00845B11">
      <w:pPr>
        <w:pStyle w:val="BodyTextIndent2"/>
        <w:widowControl/>
        <w:ind w:left="-100" w:firstLine="100"/>
        <w:jc w:val="both"/>
        <w:rPr>
          <w:i w:val="0"/>
          <w:iCs w:val="0"/>
          <w:sz w:val="22"/>
          <w:szCs w:val="22"/>
        </w:rPr>
      </w:pPr>
    </w:p>
    <w:p w:rsidR="00845B11" w:rsidRDefault="00845B11" w:rsidP="00845B11">
      <w:pPr>
        <w:pStyle w:val="BodyTextIndent2"/>
        <w:widowControl/>
        <w:ind w:left="0"/>
        <w:jc w:val="both"/>
        <w:rPr>
          <w:i w:val="0"/>
          <w:iCs w:val="0"/>
          <w:sz w:val="22"/>
          <w:szCs w:val="22"/>
        </w:rPr>
      </w:pPr>
      <w:bookmarkStart w:id="24" w:name="_DV_M133"/>
      <w:bookmarkEnd w:id="24"/>
      <w:r>
        <w:rPr>
          <w:i w:val="0"/>
          <w:iCs w:val="0"/>
          <w:sz w:val="22"/>
          <w:szCs w:val="22"/>
        </w:rPr>
        <w:t>If you have any questions or would like any further information please contact us at our registered office or, alternatively, call one of the following Shareholder Service Centre helplines:</w:t>
      </w:r>
    </w:p>
    <w:p w:rsidR="00845B11" w:rsidRDefault="00845B11" w:rsidP="00845B11">
      <w:pPr>
        <w:pStyle w:val="BodyTextIndent2"/>
        <w:widowControl/>
        <w:jc w:val="both"/>
        <w:rPr>
          <w:i w:val="0"/>
          <w:iCs w:val="0"/>
          <w:sz w:val="22"/>
          <w:szCs w:val="22"/>
        </w:rPr>
      </w:pPr>
    </w:p>
    <w:p w:rsidR="00845B11" w:rsidRDefault="00845B11" w:rsidP="00845B11">
      <w:pPr>
        <w:pStyle w:val="BodyTextIndent2"/>
        <w:widowControl/>
        <w:ind w:left="3222" w:hanging="2655"/>
        <w:jc w:val="both"/>
        <w:rPr>
          <w:i w:val="0"/>
          <w:iCs w:val="0"/>
          <w:color w:val="FF0000"/>
          <w:sz w:val="22"/>
          <w:szCs w:val="22"/>
        </w:rPr>
      </w:pPr>
      <w:bookmarkStart w:id="25" w:name="_DV_M134"/>
      <w:bookmarkStart w:id="26" w:name="_DV_M135"/>
      <w:bookmarkEnd w:id="25"/>
      <w:bookmarkEnd w:id="26"/>
      <w:r>
        <w:rPr>
          <w:b/>
          <w:bCs/>
          <w:i w:val="0"/>
          <w:iCs w:val="0"/>
          <w:sz w:val="22"/>
          <w:szCs w:val="22"/>
        </w:rPr>
        <w:lastRenderedPageBreak/>
        <w:t xml:space="preserve">Europe (excluding UK) and rest of the world +352 46 40 10 820 </w:t>
      </w:r>
    </w:p>
    <w:p w:rsidR="00845B11" w:rsidRDefault="00845B11" w:rsidP="00845B11">
      <w:pPr>
        <w:pStyle w:val="BodyTextIndent2"/>
        <w:widowControl/>
        <w:ind w:left="3222" w:hanging="2655"/>
        <w:jc w:val="both"/>
        <w:rPr>
          <w:i w:val="0"/>
          <w:iCs w:val="0"/>
          <w:color w:val="FF0000"/>
          <w:sz w:val="22"/>
          <w:szCs w:val="22"/>
        </w:rPr>
      </w:pPr>
    </w:p>
    <w:p w:rsidR="00845B11" w:rsidRDefault="00845B11" w:rsidP="00845B11">
      <w:pPr>
        <w:pStyle w:val="BodyTextIndent2"/>
        <w:widowControl/>
        <w:ind w:left="3222" w:hanging="2655"/>
        <w:jc w:val="both"/>
        <w:rPr>
          <w:b/>
          <w:bCs/>
          <w:i w:val="0"/>
          <w:iCs w:val="0"/>
          <w:sz w:val="22"/>
          <w:szCs w:val="22"/>
        </w:rPr>
      </w:pPr>
      <w:r>
        <w:rPr>
          <w:b/>
          <w:bCs/>
          <w:i w:val="0"/>
          <w:iCs w:val="0"/>
          <w:sz w:val="22"/>
          <w:szCs w:val="22"/>
        </w:rPr>
        <w:t>UK  +44 (0)1224 425 255</w:t>
      </w:r>
    </w:p>
    <w:p w:rsidR="00845B11" w:rsidRDefault="00845B11" w:rsidP="00845B11">
      <w:pPr>
        <w:pStyle w:val="BodyTextIndent2"/>
        <w:widowControl/>
        <w:ind w:left="3222" w:hanging="2655"/>
        <w:jc w:val="both"/>
        <w:rPr>
          <w:b/>
          <w:bCs/>
          <w:i w:val="0"/>
          <w:iCs w:val="0"/>
          <w:sz w:val="22"/>
          <w:szCs w:val="22"/>
        </w:rPr>
      </w:pPr>
    </w:p>
    <w:p w:rsidR="00845B11" w:rsidRDefault="00845B11" w:rsidP="00845B11">
      <w:pPr>
        <w:pStyle w:val="BodyTextIndent2"/>
        <w:widowControl/>
        <w:ind w:left="0"/>
        <w:jc w:val="both"/>
        <w:rPr>
          <w:b/>
          <w:bCs/>
          <w:i w:val="0"/>
          <w:iCs w:val="0"/>
          <w:sz w:val="22"/>
          <w:szCs w:val="22"/>
        </w:rPr>
      </w:pPr>
    </w:p>
    <w:p w:rsidR="00845B11" w:rsidRDefault="00845B11" w:rsidP="00845B11">
      <w:pPr>
        <w:pStyle w:val="BodyTextIndent2"/>
        <w:widowControl/>
        <w:ind w:left="0"/>
        <w:jc w:val="both"/>
        <w:rPr>
          <w:i w:val="0"/>
          <w:iCs w:val="0"/>
          <w:sz w:val="22"/>
          <w:szCs w:val="22"/>
        </w:rPr>
      </w:pPr>
      <w:bookmarkStart w:id="27" w:name="_DV_M136"/>
      <w:bookmarkEnd w:id="27"/>
      <w:r>
        <w:rPr>
          <w:i w:val="0"/>
          <w:iCs w:val="0"/>
          <w:sz w:val="22"/>
          <w:szCs w:val="22"/>
        </w:rPr>
        <w:t>Your Board of Directors believes that the changes are fair and reasonable and are in the best interests of shareholders.</w:t>
      </w:r>
    </w:p>
    <w:p w:rsidR="00845B11" w:rsidRDefault="00845B11" w:rsidP="00845B11">
      <w:pPr>
        <w:pStyle w:val="BodyTextIndent2"/>
        <w:widowControl/>
        <w:ind w:left="0"/>
        <w:jc w:val="both"/>
        <w:rPr>
          <w:b/>
          <w:bCs/>
          <w:i w:val="0"/>
          <w:iCs w:val="0"/>
          <w:sz w:val="22"/>
          <w:szCs w:val="22"/>
        </w:rPr>
      </w:pPr>
    </w:p>
    <w:p w:rsidR="00845B11" w:rsidRDefault="00845B11" w:rsidP="00845B11">
      <w:pPr>
        <w:jc w:val="both"/>
        <w:rPr>
          <w:sz w:val="22"/>
          <w:szCs w:val="22"/>
        </w:rPr>
      </w:pPr>
      <w:bookmarkStart w:id="28" w:name="_DV_M137"/>
      <w:bookmarkEnd w:id="28"/>
      <w:r>
        <w:rPr>
          <w:sz w:val="22"/>
          <w:szCs w:val="22"/>
        </w:rPr>
        <w:t>Yours faithfully,</w:t>
      </w:r>
    </w:p>
    <w:p w:rsidR="00845B11" w:rsidRDefault="006B5384" w:rsidP="00845B11">
      <w:pPr>
        <w:jc w:val="both"/>
        <w:rPr>
          <w:sz w:val="22"/>
          <w:szCs w:val="22"/>
        </w:rPr>
      </w:pPr>
      <w:r w:rsidRPr="00636548">
        <w:rPr>
          <w:rFonts w:ascii="Times New Roman" w:hAnsi="Times New Roman"/>
          <w:noProof/>
          <w:sz w:val="22"/>
          <w:szCs w:val="22"/>
        </w:rPr>
        <w:drawing>
          <wp:inline distT="0" distB="0" distL="0" distR="0" wp14:anchorId="443BA31C" wp14:editId="3EED45EF">
            <wp:extent cx="1752600" cy="514204"/>
            <wp:effectExtent l="0" t="0" r="0" b="635"/>
            <wp:docPr id="3" name="Picture 3" descr="cid:image001.png@01CEE13D.1C4CE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E13D.1C4CE8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56664" cy="515396"/>
                    </a:xfrm>
                    <a:prstGeom prst="rect">
                      <a:avLst/>
                    </a:prstGeom>
                    <a:noFill/>
                    <a:ln>
                      <a:noFill/>
                    </a:ln>
                  </pic:spPr>
                </pic:pic>
              </a:graphicData>
            </a:graphic>
          </wp:inline>
        </w:drawing>
      </w:r>
    </w:p>
    <w:p w:rsidR="00845B11" w:rsidRDefault="00845B11" w:rsidP="00845B11">
      <w:pPr>
        <w:jc w:val="both"/>
        <w:rPr>
          <w:sz w:val="22"/>
          <w:szCs w:val="22"/>
        </w:rPr>
      </w:pPr>
      <w:bookmarkStart w:id="29" w:name="_DV_M138"/>
      <w:bookmarkEnd w:id="29"/>
      <w:r>
        <w:rPr>
          <w:sz w:val="22"/>
          <w:szCs w:val="22"/>
        </w:rPr>
        <w:t xml:space="preserve">For and on behalf of </w:t>
      </w:r>
    </w:p>
    <w:p w:rsidR="00845B11" w:rsidRDefault="00845B11" w:rsidP="00845B11">
      <w:pPr>
        <w:rPr>
          <w:b/>
        </w:rPr>
      </w:pPr>
      <w:bookmarkStart w:id="30" w:name="_DV_M139"/>
      <w:bookmarkEnd w:id="30"/>
      <w:r>
        <w:rPr>
          <w:sz w:val="22"/>
          <w:szCs w:val="22"/>
        </w:rPr>
        <w:t>the Board of Directors – Aberdeen Global II</w:t>
      </w:r>
    </w:p>
    <w:p w:rsidR="00845B11" w:rsidRDefault="00845B11" w:rsidP="00845B11">
      <w:pPr>
        <w:jc w:val="both"/>
        <w:rPr>
          <w:b/>
          <w:sz w:val="22"/>
          <w:szCs w:val="22"/>
        </w:rPr>
      </w:pPr>
    </w:p>
    <w:p w:rsidR="00845B11" w:rsidRDefault="00845B11" w:rsidP="00845B11">
      <w:pPr>
        <w:jc w:val="both"/>
        <w:rPr>
          <w:b/>
          <w:sz w:val="22"/>
          <w:szCs w:val="22"/>
        </w:rPr>
      </w:pPr>
      <w:r>
        <w:rPr>
          <w:b/>
          <w:sz w:val="22"/>
          <w:szCs w:val="22"/>
        </w:rPr>
        <w:br w:type="page"/>
      </w:r>
      <w:r>
        <w:rPr>
          <w:b/>
          <w:sz w:val="22"/>
          <w:szCs w:val="22"/>
        </w:rPr>
        <w:lastRenderedPageBreak/>
        <w:t xml:space="preserve">APPENDIX </w:t>
      </w:r>
    </w:p>
    <w:p w:rsidR="00845B11" w:rsidRDefault="00845B11" w:rsidP="00845B11">
      <w:pPr>
        <w:jc w:val="both"/>
        <w:rPr>
          <w:b/>
          <w:sz w:val="22"/>
          <w:szCs w:val="22"/>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1506"/>
        <w:gridCol w:w="1332"/>
        <w:gridCol w:w="1791"/>
        <w:gridCol w:w="2003"/>
      </w:tblGrid>
      <w:tr w:rsidR="00845B11" w:rsidRPr="006E7129" w:rsidTr="00E10566">
        <w:trPr>
          <w:trHeight w:val="300"/>
        </w:trPr>
        <w:tc>
          <w:tcPr>
            <w:tcW w:w="2561" w:type="dxa"/>
            <w:hideMark/>
          </w:tcPr>
          <w:p w:rsidR="00845B11" w:rsidRPr="006E7129" w:rsidRDefault="00845B11" w:rsidP="00E10566">
            <w:pPr>
              <w:rPr>
                <w:rFonts w:ascii="Tahoma" w:hAnsi="Tahoma" w:cs="Tahoma"/>
                <w:b/>
                <w:bCs/>
                <w:sz w:val="16"/>
                <w:szCs w:val="16"/>
              </w:rPr>
            </w:pPr>
            <w:r w:rsidRPr="006E7129">
              <w:rPr>
                <w:rFonts w:ascii="Tahoma" w:hAnsi="Tahoma" w:cs="Tahoma"/>
                <w:b/>
                <w:bCs/>
                <w:sz w:val="16"/>
                <w:szCs w:val="16"/>
              </w:rPr>
              <w:t>Fund</w:t>
            </w:r>
          </w:p>
        </w:tc>
        <w:tc>
          <w:tcPr>
            <w:tcW w:w="1506" w:type="dxa"/>
            <w:hideMark/>
          </w:tcPr>
          <w:p w:rsidR="00845B11" w:rsidRPr="006E7129" w:rsidRDefault="00845B11" w:rsidP="006C1318">
            <w:pPr>
              <w:rPr>
                <w:rFonts w:ascii="Tahoma" w:hAnsi="Tahoma" w:cs="Tahoma"/>
                <w:b/>
                <w:bCs/>
                <w:sz w:val="16"/>
                <w:szCs w:val="16"/>
              </w:rPr>
            </w:pPr>
            <w:r>
              <w:rPr>
                <w:rFonts w:ascii="Tahoma" w:hAnsi="Tahoma" w:cs="Tahoma"/>
                <w:b/>
                <w:bCs/>
                <w:sz w:val="16"/>
                <w:szCs w:val="16"/>
              </w:rPr>
              <w:t xml:space="preserve">Existing Share </w:t>
            </w:r>
            <w:r w:rsidRPr="006E7129">
              <w:rPr>
                <w:rFonts w:ascii="Tahoma" w:hAnsi="Tahoma" w:cs="Tahoma"/>
                <w:b/>
                <w:bCs/>
                <w:sz w:val="16"/>
                <w:szCs w:val="16"/>
              </w:rPr>
              <w:t xml:space="preserve">Class </w:t>
            </w:r>
            <w:r>
              <w:rPr>
                <w:rFonts w:ascii="Tahoma" w:hAnsi="Tahoma" w:cs="Tahoma"/>
                <w:b/>
                <w:bCs/>
                <w:sz w:val="16"/>
                <w:szCs w:val="16"/>
              </w:rPr>
              <w:t xml:space="preserve">Name until </w:t>
            </w:r>
            <w:r w:rsidR="006C1318">
              <w:rPr>
                <w:rFonts w:ascii="Tahoma" w:hAnsi="Tahoma" w:cs="Tahoma"/>
                <w:b/>
                <w:bCs/>
                <w:sz w:val="16"/>
                <w:szCs w:val="16"/>
              </w:rPr>
              <w:t>27 February</w:t>
            </w:r>
            <w:r>
              <w:rPr>
                <w:rFonts w:ascii="Tahoma" w:hAnsi="Tahoma" w:cs="Tahoma"/>
                <w:b/>
                <w:bCs/>
                <w:sz w:val="16"/>
                <w:szCs w:val="16"/>
              </w:rPr>
              <w:t xml:space="preserve"> 2015</w:t>
            </w:r>
          </w:p>
        </w:tc>
        <w:tc>
          <w:tcPr>
            <w:tcW w:w="1332" w:type="dxa"/>
            <w:hideMark/>
          </w:tcPr>
          <w:p w:rsidR="00845B11" w:rsidRPr="006E7129" w:rsidRDefault="00845B11" w:rsidP="00E10566">
            <w:pPr>
              <w:rPr>
                <w:rFonts w:ascii="Tahoma" w:hAnsi="Tahoma" w:cs="Tahoma"/>
                <w:b/>
                <w:bCs/>
                <w:sz w:val="16"/>
                <w:szCs w:val="16"/>
              </w:rPr>
            </w:pPr>
            <w:r w:rsidRPr="006E7129">
              <w:rPr>
                <w:rFonts w:ascii="Tahoma" w:hAnsi="Tahoma" w:cs="Tahoma"/>
                <w:b/>
                <w:bCs/>
                <w:sz w:val="16"/>
                <w:szCs w:val="16"/>
              </w:rPr>
              <w:t>ISIN</w:t>
            </w:r>
          </w:p>
        </w:tc>
        <w:tc>
          <w:tcPr>
            <w:tcW w:w="1791" w:type="dxa"/>
          </w:tcPr>
          <w:p w:rsidR="00845B11" w:rsidRPr="006E7129" w:rsidRDefault="00845B11" w:rsidP="006C1318">
            <w:pPr>
              <w:rPr>
                <w:rFonts w:ascii="Tahoma" w:hAnsi="Tahoma" w:cs="Tahoma"/>
                <w:b/>
                <w:bCs/>
                <w:sz w:val="16"/>
                <w:szCs w:val="16"/>
              </w:rPr>
            </w:pPr>
            <w:r w:rsidRPr="006E7129">
              <w:rPr>
                <w:rFonts w:ascii="Tahoma" w:hAnsi="Tahoma" w:cs="Tahoma"/>
                <w:b/>
                <w:bCs/>
                <w:sz w:val="16"/>
                <w:szCs w:val="16"/>
              </w:rPr>
              <w:t>New Share Class Name</w:t>
            </w:r>
            <w:r>
              <w:rPr>
                <w:rFonts w:ascii="Tahoma" w:hAnsi="Tahoma" w:cs="Tahoma"/>
                <w:b/>
                <w:bCs/>
                <w:sz w:val="16"/>
                <w:szCs w:val="16"/>
              </w:rPr>
              <w:t xml:space="preserve"> with effect from </w:t>
            </w:r>
            <w:r w:rsidR="006C1318">
              <w:rPr>
                <w:rFonts w:ascii="Tahoma" w:hAnsi="Tahoma" w:cs="Tahoma"/>
                <w:b/>
                <w:bCs/>
                <w:sz w:val="16"/>
                <w:szCs w:val="16"/>
              </w:rPr>
              <w:t>2 March</w:t>
            </w:r>
            <w:r>
              <w:rPr>
                <w:rFonts w:ascii="Tahoma" w:hAnsi="Tahoma" w:cs="Tahoma"/>
                <w:b/>
                <w:bCs/>
                <w:sz w:val="16"/>
                <w:szCs w:val="16"/>
              </w:rPr>
              <w:t xml:space="preserve"> 2015</w:t>
            </w:r>
          </w:p>
        </w:tc>
        <w:tc>
          <w:tcPr>
            <w:tcW w:w="2003" w:type="dxa"/>
            <w:hideMark/>
          </w:tcPr>
          <w:p w:rsidR="00845B11" w:rsidRPr="006E7129" w:rsidRDefault="00845B11" w:rsidP="007706B6">
            <w:pPr>
              <w:rPr>
                <w:rFonts w:ascii="Tahoma" w:hAnsi="Tahoma" w:cs="Tahoma"/>
                <w:b/>
                <w:bCs/>
                <w:sz w:val="16"/>
                <w:szCs w:val="16"/>
              </w:rPr>
            </w:pPr>
            <w:r>
              <w:rPr>
                <w:rFonts w:ascii="Tahoma" w:hAnsi="Tahoma" w:cs="Tahoma"/>
                <w:b/>
                <w:bCs/>
                <w:sz w:val="16"/>
                <w:szCs w:val="16"/>
              </w:rPr>
              <w:t xml:space="preserve">Base Currency Exposure Share Class category (depending on sub-fund currency exposure) as at 22 </w:t>
            </w:r>
            <w:r w:rsidR="007706B6">
              <w:rPr>
                <w:rFonts w:ascii="Tahoma" w:hAnsi="Tahoma" w:cs="Tahoma"/>
                <w:b/>
                <w:bCs/>
                <w:sz w:val="16"/>
                <w:szCs w:val="16"/>
              </w:rPr>
              <w:t>January</w:t>
            </w:r>
            <w:r>
              <w:rPr>
                <w:rFonts w:ascii="Tahoma" w:hAnsi="Tahoma" w:cs="Tahoma"/>
                <w:b/>
                <w:bCs/>
                <w:sz w:val="16"/>
                <w:szCs w:val="16"/>
              </w:rPr>
              <w:t xml:space="preserve"> 201</w:t>
            </w:r>
            <w:r w:rsidR="007706B6">
              <w:rPr>
                <w:rFonts w:ascii="Tahoma" w:hAnsi="Tahoma" w:cs="Tahoma"/>
                <w:b/>
                <w:bCs/>
                <w:sz w:val="16"/>
                <w:szCs w:val="16"/>
              </w:rPr>
              <w:t>5</w:t>
            </w:r>
            <w:r>
              <w:rPr>
                <w:rFonts w:ascii="Tahoma" w:hAnsi="Tahoma" w:cs="Tahoma"/>
                <w:b/>
                <w:bCs/>
                <w:sz w:val="16"/>
                <w:szCs w:val="16"/>
              </w:rPr>
              <w:t>*</w:t>
            </w:r>
          </w:p>
        </w:tc>
      </w:tr>
      <w:tr w:rsidR="00845B11" w:rsidRPr="006E7129" w:rsidTr="00F37A99">
        <w:trPr>
          <w:trHeight w:val="300"/>
        </w:trPr>
        <w:tc>
          <w:tcPr>
            <w:tcW w:w="2561" w:type="dxa"/>
            <w:vMerge w:val="restart"/>
            <w:vAlign w:val="center"/>
          </w:tcPr>
          <w:p w:rsidR="00845B11" w:rsidRPr="006E7129" w:rsidRDefault="00845B11" w:rsidP="00F37A99">
            <w:pPr>
              <w:rPr>
                <w:rFonts w:ascii="Tahoma" w:hAnsi="Tahoma" w:cs="Tahoma"/>
                <w:sz w:val="16"/>
                <w:szCs w:val="16"/>
              </w:rPr>
            </w:pPr>
            <w:r w:rsidRPr="006E7129">
              <w:rPr>
                <w:rFonts w:ascii="Tahoma" w:hAnsi="Tahoma" w:cs="Tahoma"/>
                <w:sz w:val="16"/>
                <w:szCs w:val="16"/>
              </w:rPr>
              <w:t xml:space="preserve">Aberdeen Global </w:t>
            </w:r>
            <w:r>
              <w:rPr>
                <w:rFonts w:ascii="Tahoma" w:hAnsi="Tahoma" w:cs="Tahoma"/>
                <w:sz w:val="16"/>
                <w:szCs w:val="16"/>
              </w:rPr>
              <w:t>II –</w:t>
            </w:r>
            <w:r w:rsidRPr="006E7129">
              <w:rPr>
                <w:rFonts w:ascii="Tahoma" w:hAnsi="Tahoma" w:cs="Tahoma"/>
                <w:sz w:val="16"/>
                <w:szCs w:val="16"/>
              </w:rPr>
              <w:t xml:space="preserve"> </w:t>
            </w:r>
            <w:r w:rsidRPr="00244494">
              <w:rPr>
                <w:rFonts w:ascii="Tahoma" w:hAnsi="Tahoma" w:cs="Tahoma"/>
                <w:sz w:val="16"/>
                <w:szCs w:val="16"/>
              </w:rPr>
              <w:t>Asia Pacific Multi Asset Fund</w:t>
            </w:r>
          </w:p>
        </w:tc>
        <w:tc>
          <w:tcPr>
            <w:tcW w:w="1506" w:type="dxa"/>
          </w:tcPr>
          <w:p w:rsidR="00845B11" w:rsidRPr="006E7129" w:rsidRDefault="00845B11" w:rsidP="00E10566">
            <w:pPr>
              <w:rPr>
                <w:rFonts w:ascii="Tahoma" w:hAnsi="Tahoma" w:cs="Tahoma"/>
                <w:sz w:val="16"/>
                <w:szCs w:val="16"/>
              </w:rPr>
            </w:pPr>
            <w:r>
              <w:rPr>
                <w:rFonts w:ascii="Tahoma" w:hAnsi="Tahoma" w:cs="Tahoma"/>
                <w:sz w:val="16"/>
                <w:szCs w:val="16"/>
              </w:rPr>
              <w:t xml:space="preserve">A-2 Hedged CHF </w:t>
            </w:r>
            <w:proofErr w:type="spellStart"/>
            <w:r>
              <w:rPr>
                <w:rFonts w:ascii="Tahoma" w:hAnsi="Tahoma" w:cs="Tahoma"/>
                <w:sz w:val="16"/>
                <w:szCs w:val="16"/>
              </w:rPr>
              <w:t>Acc</w:t>
            </w:r>
            <w:proofErr w:type="spellEnd"/>
            <w:r>
              <w:rPr>
                <w:rFonts w:ascii="Tahoma" w:hAnsi="Tahoma" w:cs="Tahoma"/>
                <w:sz w:val="16"/>
                <w:szCs w:val="16"/>
              </w:rPr>
              <w:t xml:space="preserve"> </w:t>
            </w:r>
          </w:p>
        </w:tc>
        <w:tc>
          <w:tcPr>
            <w:tcW w:w="1332" w:type="dxa"/>
          </w:tcPr>
          <w:p w:rsidR="00845B11" w:rsidRPr="008558FD" w:rsidRDefault="00845B11" w:rsidP="00E10566">
            <w:pPr>
              <w:rPr>
                <w:rFonts w:ascii="Tahoma" w:hAnsi="Tahoma" w:cs="Tahoma"/>
                <w:sz w:val="16"/>
                <w:szCs w:val="16"/>
              </w:rPr>
            </w:pPr>
            <w:r w:rsidRPr="008558FD">
              <w:rPr>
                <w:rFonts w:ascii="Tahoma" w:hAnsi="Tahoma" w:cs="Tahoma"/>
                <w:sz w:val="16"/>
                <w:szCs w:val="16"/>
              </w:rPr>
              <w:t>LU0513837616</w:t>
            </w:r>
          </w:p>
        </w:tc>
        <w:tc>
          <w:tcPr>
            <w:tcW w:w="1791" w:type="dxa"/>
          </w:tcPr>
          <w:p w:rsidR="00845B11" w:rsidRDefault="00845B11" w:rsidP="00E10566">
            <w:pPr>
              <w:rPr>
                <w:rFonts w:ascii="Tahoma" w:hAnsi="Tahoma" w:cs="Tahoma"/>
                <w:sz w:val="16"/>
                <w:szCs w:val="16"/>
              </w:rPr>
            </w:pPr>
            <w:r>
              <w:rPr>
                <w:rFonts w:ascii="Tahoma" w:hAnsi="Tahoma" w:cs="Tahoma"/>
                <w:sz w:val="16"/>
                <w:szCs w:val="16"/>
              </w:rPr>
              <w:t xml:space="preserve">A-2 Base Currency Exposure CHF </w:t>
            </w:r>
            <w:proofErr w:type="spellStart"/>
            <w:r>
              <w:rPr>
                <w:rFonts w:ascii="Tahoma" w:hAnsi="Tahoma" w:cs="Tahoma"/>
                <w:sz w:val="16"/>
                <w:szCs w:val="16"/>
              </w:rPr>
              <w:t>Acc</w:t>
            </w:r>
            <w:proofErr w:type="spellEnd"/>
          </w:p>
        </w:tc>
        <w:tc>
          <w:tcPr>
            <w:tcW w:w="2003" w:type="dxa"/>
            <w:vMerge w:val="restart"/>
            <w:vAlign w:val="center"/>
          </w:tcPr>
          <w:p w:rsidR="00845B11" w:rsidRPr="006E7129" w:rsidRDefault="00845B11" w:rsidP="00F37A99">
            <w:pPr>
              <w:rPr>
                <w:rFonts w:ascii="Tahoma" w:hAnsi="Tahoma" w:cs="Tahoma"/>
                <w:sz w:val="16"/>
                <w:szCs w:val="16"/>
              </w:rPr>
            </w:pPr>
            <w:r>
              <w:rPr>
                <w:rFonts w:ascii="Tahoma" w:hAnsi="Tahoma" w:cs="Tahoma"/>
                <w:sz w:val="16"/>
                <w:szCs w:val="16"/>
              </w:rPr>
              <w:t>Partial Base Currency Short</w:t>
            </w:r>
          </w:p>
        </w:tc>
      </w:tr>
      <w:tr w:rsidR="00845B11" w:rsidRPr="006E7129" w:rsidTr="00F37A99">
        <w:trPr>
          <w:trHeight w:val="300"/>
        </w:trPr>
        <w:tc>
          <w:tcPr>
            <w:tcW w:w="2561" w:type="dxa"/>
            <w:vMerge/>
            <w:vAlign w:val="center"/>
          </w:tcPr>
          <w:p w:rsidR="00845B11" w:rsidRPr="006E7129" w:rsidRDefault="00845B11" w:rsidP="00F37A99">
            <w:pPr>
              <w:rPr>
                <w:rFonts w:ascii="Tahoma" w:hAnsi="Tahoma" w:cs="Tahoma"/>
                <w:sz w:val="16"/>
                <w:szCs w:val="16"/>
              </w:rPr>
            </w:pPr>
          </w:p>
        </w:tc>
        <w:tc>
          <w:tcPr>
            <w:tcW w:w="1506" w:type="dxa"/>
          </w:tcPr>
          <w:p w:rsidR="00845B11" w:rsidRPr="006E7129" w:rsidRDefault="00845B11" w:rsidP="00E10566">
            <w:pPr>
              <w:rPr>
                <w:rFonts w:ascii="Tahoma" w:hAnsi="Tahoma" w:cs="Tahoma"/>
                <w:sz w:val="16"/>
                <w:szCs w:val="16"/>
              </w:rPr>
            </w:pPr>
            <w:r>
              <w:rPr>
                <w:rFonts w:ascii="Tahoma" w:hAnsi="Tahoma" w:cs="Tahoma"/>
                <w:sz w:val="16"/>
                <w:szCs w:val="16"/>
              </w:rPr>
              <w:t xml:space="preserve">A-2 Hedged EUR </w:t>
            </w:r>
            <w:proofErr w:type="spellStart"/>
            <w:r>
              <w:rPr>
                <w:rFonts w:ascii="Tahoma" w:hAnsi="Tahoma" w:cs="Tahoma"/>
                <w:sz w:val="16"/>
                <w:szCs w:val="16"/>
              </w:rPr>
              <w:t>Acc</w:t>
            </w:r>
            <w:proofErr w:type="spellEnd"/>
          </w:p>
        </w:tc>
        <w:tc>
          <w:tcPr>
            <w:tcW w:w="1332" w:type="dxa"/>
          </w:tcPr>
          <w:p w:rsidR="00845B11" w:rsidRPr="008558FD" w:rsidRDefault="00845B11" w:rsidP="00E10566">
            <w:pPr>
              <w:rPr>
                <w:rFonts w:ascii="Tahoma" w:hAnsi="Tahoma" w:cs="Tahoma"/>
                <w:sz w:val="16"/>
                <w:szCs w:val="16"/>
              </w:rPr>
            </w:pPr>
            <w:r w:rsidRPr="008558FD">
              <w:rPr>
                <w:rFonts w:ascii="Tahoma" w:hAnsi="Tahoma" w:cs="Tahoma"/>
                <w:sz w:val="16"/>
                <w:szCs w:val="16"/>
              </w:rPr>
              <w:t>LU0513837707</w:t>
            </w:r>
          </w:p>
        </w:tc>
        <w:tc>
          <w:tcPr>
            <w:tcW w:w="1791" w:type="dxa"/>
          </w:tcPr>
          <w:p w:rsidR="00845B11" w:rsidRDefault="00845B11" w:rsidP="00E10566">
            <w:pPr>
              <w:rPr>
                <w:rFonts w:ascii="Tahoma" w:hAnsi="Tahoma" w:cs="Tahoma"/>
                <w:sz w:val="16"/>
                <w:szCs w:val="16"/>
              </w:rPr>
            </w:pPr>
            <w:r>
              <w:rPr>
                <w:rFonts w:ascii="Tahoma" w:hAnsi="Tahoma" w:cs="Tahoma"/>
                <w:sz w:val="16"/>
                <w:szCs w:val="16"/>
              </w:rPr>
              <w:t xml:space="preserve">A-2 Base Currency Exposure EUR </w:t>
            </w:r>
            <w:proofErr w:type="spellStart"/>
            <w:r>
              <w:rPr>
                <w:rFonts w:ascii="Tahoma" w:hAnsi="Tahoma" w:cs="Tahoma"/>
                <w:sz w:val="16"/>
                <w:szCs w:val="16"/>
              </w:rPr>
              <w:t>Acc</w:t>
            </w:r>
            <w:proofErr w:type="spellEnd"/>
          </w:p>
        </w:tc>
        <w:tc>
          <w:tcPr>
            <w:tcW w:w="2003" w:type="dxa"/>
            <w:vMerge/>
            <w:vAlign w:val="center"/>
          </w:tcPr>
          <w:p w:rsidR="00845B11" w:rsidRPr="006E7129" w:rsidRDefault="00845B11" w:rsidP="00F37A99">
            <w:pPr>
              <w:rPr>
                <w:rFonts w:ascii="Tahoma" w:hAnsi="Tahoma" w:cs="Tahoma"/>
                <w:sz w:val="16"/>
                <w:szCs w:val="16"/>
              </w:rPr>
            </w:pPr>
          </w:p>
        </w:tc>
      </w:tr>
      <w:tr w:rsidR="00845B11" w:rsidRPr="006E7129" w:rsidTr="00F37A99">
        <w:trPr>
          <w:trHeight w:val="300"/>
        </w:trPr>
        <w:tc>
          <w:tcPr>
            <w:tcW w:w="2561" w:type="dxa"/>
            <w:vMerge w:val="restart"/>
            <w:vAlign w:val="center"/>
          </w:tcPr>
          <w:p w:rsidR="00845B11" w:rsidRPr="006E7129" w:rsidRDefault="00845B11" w:rsidP="00F37A99">
            <w:pPr>
              <w:rPr>
                <w:rFonts w:ascii="Tahoma" w:hAnsi="Tahoma" w:cs="Tahoma"/>
                <w:sz w:val="16"/>
                <w:szCs w:val="16"/>
              </w:rPr>
            </w:pPr>
            <w:r w:rsidRPr="006E7129">
              <w:rPr>
                <w:rFonts w:ascii="Tahoma" w:hAnsi="Tahoma" w:cs="Tahoma"/>
                <w:sz w:val="16"/>
                <w:szCs w:val="16"/>
              </w:rPr>
              <w:t xml:space="preserve">Aberdeen Global </w:t>
            </w:r>
            <w:r>
              <w:rPr>
                <w:rFonts w:ascii="Tahoma" w:hAnsi="Tahoma" w:cs="Tahoma"/>
                <w:sz w:val="16"/>
                <w:szCs w:val="16"/>
              </w:rPr>
              <w:t>II –</w:t>
            </w:r>
            <w:r w:rsidRPr="006E7129">
              <w:rPr>
                <w:rFonts w:ascii="Tahoma" w:hAnsi="Tahoma" w:cs="Tahoma"/>
                <w:sz w:val="16"/>
                <w:szCs w:val="16"/>
              </w:rPr>
              <w:t xml:space="preserve"> </w:t>
            </w:r>
            <w:r w:rsidRPr="00244494">
              <w:rPr>
                <w:rFonts w:ascii="Tahoma" w:hAnsi="Tahoma" w:cs="Tahoma"/>
                <w:sz w:val="16"/>
                <w:szCs w:val="16"/>
              </w:rPr>
              <w:t>Asian Bond Fund</w:t>
            </w:r>
          </w:p>
        </w:tc>
        <w:tc>
          <w:tcPr>
            <w:tcW w:w="1506" w:type="dxa"/>
          </w:tcPr>
          <w:p w:rsidR="00845B11" w:rsidRPr="006E7129" w:rsidRDefault="00845B11" w:rsidP="00E10566">
            <w:pPr>
              <w:rPr>
                <w:rFonts w:ascii="Tahoma" w:hAnsi="Tahoma" w:cs="Tahoma"/>
                <w:sz w:val="16"/>
                <w:szCs w:val="16"/>
              </w:rPr>
            </w:pPr>
            <w:r>
              <w:rPr>
                <w:rFonts w:ascii="Tahoma" w:hAnsi="Tahoma" w:cs="Tahoma"/>
                <w:sz w:val="16"/>
                <w:szCs w:val="16"/>
              </w:rPr>
              <w:t xml:space="preserve">A-2 Hedged EUR </w:t>
            </w:r>
            <w:proofErr w:type="spellStart"/>
            <w:r>
              <w:rPr>
                <w:rFonts w:ascii="Tahoma" w:hAnsi="Tahoma" w:cs="Tahoma"/>
                <w:sz w:val="16"/>
                <w:szCs w:val="16"/>
              </w:rPr>
              <w:t>Acc</w:t>
            </w:r>
            <w:proofErr w:type="spellEnd"/>
            <w:r w:rsidRPr="008558FD">
              <w:rPr>
                <w:rFonts w:ascii="Tahoma" w:hAnsi="Tahoma" w:cs="Tahoma"/>
                <w:sz w:val="16"/>
                <w:szCs w:val="16"/>
              </w:rPr>
              <w:t xml:space="preserve"> </w:t>
            </w:r>
          </w:p>
        </w:tc>
        <w:tc>
          <w:tcPr>
            <w:tcW w:w="1332" w:type="dxa"/>
          </w:tcPr>
          <w:p w:rsidR="00845B11" w:rsidRPr="008558FD" w:rsidRDefault="00845B11" w:rsidP="00E10566">
            <w:pPr>
              <w:rPr>
                <w:rFonts w:ascii="Tahoma" w:hAnsi="Tahoma" w:cs="Tahoma"/>
                <w:sz w:val="16"/>
                <w:szCs w:val="16"/>
              </w:rPr>
            </w:pPr>
            <w:r w:rsidRPr="008558FD">
              <w:rPr>
                <w:rFonts w:ascii="Tahoma" w:hAnsi="Tahoma" w:cs="Tahoma"/>
                <w:sz w:val="16"/>
                <w:szCs w:val="16"/>
              </w:rPr>
              <w:t>LU0513448471</w:t>
            </w:r>
          </w:p>
        </w:tc>
        <w:tc>
          <w:tcPr>
            <w:tcW w:w="1791" w:type="dxa"/>
          </w:tcPr>
          <w:p w:rsidR="00845B11" w:rsidRDefault="00845B11" w:rsidP="00E10566">
            <w:pPr>
              <w:rPr>
                <w:rFonts w:ascii="Tahoma" w:hAnsi="Tahoma" w:cs="Tahoma"/>
                <w:sz w:val="16"/>
                <w:szCs w:val="16"/>
              </w:rPr>
            </w:pPr>
            <w:r>
              <w:rPr>
                <w:rFonts w:ascii="Tahoma" w:hAnsi="Tahoma" w:cs="Tahoma"/>
                <w:sz w:val="16"/>
                <w:szCs w:val="16"/>
              </w:rPr>
              <w:t xml:space="preserve">A-2 Base Currency Exposure EUR </w:t>
            </w:r>
            <w:proofErr w:type="spellStart"/>
            <w:r>
              <w:rPr>
                <w:rFonts w:ascii="Tahoma" w:hAnsi="Tahoma" w:cs="Tahoma"/>
                <w:sz w:val="16"/>
                <w:szCs w:val="16"/>
              </w:rPr>
              <w:t>Acc</w:t>
            </w:r>
            <w:proofErr w:type="spellEnd"/>
          </w:p>
        </w:tc>
        <w:tc>
          <w:tcPr>
            <w:tcW w:w="2003" w:type="dxa"/>
            <w:vMerge w:val="restart"/>
            <w:vAlign w:val="center"/>
          </w:tcPr>
          <w:p w:rsidR="00845B11" w:rsidRPr="006E7129" w:rsidRDefault="00845B11" w:rsidP="00F37A99">
            <w:pPr>
              <w:rPr>
                <w:rFonts w:ascii="Tahoma" w:hAnsi="Tahoma" w:cs="Tahoma"/>
                <w:sz w:val="16"/>
                <w:szCs w:val="16"/>
              </w:rPr>
            </w:pPr>
            <w:r>
              <w:rPr>
                <w:rFonts w:ascii="Tahoma" w:hAnsi="Tahoma" w:cs="Tahoma"/>
                <w:sz w:val="16"/>
                <w:szCs w:val="16"/>
              </w:rPr>
              <w:t>Partial Base Currency Short</w:t>
            </w:r>
          </w:p>
        </w:tc>
      </w:tr>
      <w:tr w:rsidR="00F37A99" w:rsidRPr="006E7129" w:rsidTr="00F37A99">
        <w:trPr>
          <w:trHeight w:val="409"/>
        </w:trPr>
        <w:tc>
          <w:tcPr>
            <w:tcW w:w="2561" w:type="dxa"/>
            <w:vMerge/>
            <w:vAlign w:val="center"/>
          </w:tcPr>
          <w:p w:rsidR="00F37A99" w:rsidRPr="006E7129" w:rsidRDefault="00F37A99" w:rsidP="00F37A99">
            <w:pPr>
              <w:rPr>
                <w:rFonts w:ascii="Tahoma" w:hAnsi="Tahoma" w:cs="Tahoma"/>
                <w:sz w:val="16"/>
                <w:szCs w:val="16"/>
              </w:rPr>
            </w:pPr>
          </w:p>
        </w:tc>
        <w:tc>
          <w:tcPr>
            <w:tcW w:w="1506" w:type="dxa"/>
          </w:tcPr>
          <w:p w:rsidR="00F37A99" w:rsidRDefault="00F37A99" w:rsidP="00E10566">
            <w:pPr>
              <w:rPr>
                <w:rFonts w:ascii="Tahoma" w:hAnsi="Tahoma" w:cs="Tahoma"/>
                <w:sz w:val="16"/>
                <w:szCs w:val="16"/>
              </w:rPr>
            </w:pPr>
            <w:r>
              <w:rPr>
                <w:rFonts w:ascii="Tahoma" w:hAnsi="Tahoma" w:cs="Tahoma"/>
                <w:sz w:val="16"/>
                <w:szCs w:val="16"/>
              </w:rPr>
              <w:t xml:space="preserve">D-2 Hedged GBP </w:t>
            </w:r>
          </w:p>
          <w:p w:rsidR="00F37A99" w:rsidRPr="006E7129" w:rsidRDefault="00F37A99" w:rsidP="00E10566">
            <w:pPr>
              <w:rPr>
                <w:rFonts w:ascii="Tahoma" w:hAnsi="Tahoma" w:cs="Tahoma"/>
                <w:sz w:val="16"/>
                <w:szCs w:val="16"/>
              </w:rPr>
            </w:pPr>
            <w:proofErr w:type="spellStart"/>
            <w:r>
              <w:rPr>
                <w:rFonts w:ascii="Tahoma" w:hAnsi="Tahoma" w:cs="Tahoma"/>
                <w:sz w:val="16"/>
                <w:szCs w:val="16"/>
              </w:rPr>
              <w:t>Acc</w:t>
            </w:r>
            <w:proofErr w:type="spellEnd"/>
          </w:p>
        </w:tc>
        <w:tc>
          <w:tcPr>
            <w:tcW w:w="1332" w:type="dxa"/>
          </w:tcPr>
          <w:p w:rsidR="00F37A99" w:rsidRPr="008558FD" w:rsidRDefault="00F37A99" w:rsidP="00E10566">
            <w:pPr>
              <w:rPr>
                <w:rFonts w:ascii="Tahoma" w:hAnsi="Tahoma" w:cs="Tahoma"/>
                <w:sz w:val="16"/>
                <w:szCs w:val="16"/>
              </w:rPr>
            </w:pPr>
            <w:r w:rsidRPr="008558FD">
              <w:rPr>
                <w:rFonts w:ascii="Tahoma" w:hAnsi="Tahoma" w:cs="Tahoma"/>
                <w:sz w:val="16"/>
                <w:szCs w:val="16"/>
              </w:rPr>
              <w:t>LU0585135808</w:t>
            </w:r>
          </w:p>
        </w:tc>
        <w:tc>
          <w:tcPr>
            <w:tcW w:w="1791" w:type="dxa"/>
          </w:tcPr>
          <w:p w:rsidR="00F37A99" w:rsidRDefault="00F37A99" w:rsidP="00E10566">
            <w:pPr>
              <w:rPr>
                <w:rFonts w:ascii="Tahoma" w:hAnsi="Tahoma" w:cs="Tahoma"/>
                <w:sz w:val="16"/>
                <w:szCs w:val="16"/>
              </w:rPr>
            </w:pPr>
            <w:r>
              <w:rPr>
                <w:rFonts w:ascii="Tahoma" w:hAnsi="Tahoma" w:cs="Tahoma"/>
                <w:sz w:val="16"/>
                <w:szCs w:val="16"/>
              </w:rPr>
              <w:t xml:space="preserve">D-2 Base Currency Exposure GBP </w:t>
            </w:r>
            <w:proofErr w:type="spellStart"/>
            <w:r>
              <w:rPr>
                <w:rFonts w:ascii="Tahoma" w:hAnsi="Tahoma" w:cs="Tahoma"/>
                <w:sz w:val="16"/>
                <w:szCs w:val="16"/>
              </w:rPr>
              <w:t>Acc</w:t>
            </w:r>
            <w:proofErr w:type="spellEnd"/>
          </w:p>
        </w:tc>
        <w:tc>
          <w:tcPr>
            <w:tcW w:w="2003" w:type="dxa"/>
            <w:vMerge/>
            <w:vAlign w:val="center"/>
          </w:tcPr>
          <w:p w:rsidR="00F37A99" w:rsidRPr="006E7129" w:rsidRDefault="00F37A99" w:rsidP="00F37A99">
            <w:pPr>
              <w:rPr>
                <w:rFonts w:ascii="Tahoma" w:hAnsi="Tahoma" w:cs="Tahoma"/>
                <w:sz w:val="16"/>
                <w:szCs w:val="16"/>
              </w:rPr>
            </w:pPr>
          </w:p>
        </w:tc>
      </w:tr>
      <w:tr w:rsidR="00845B11" w:rsidRPr="006E7129" w:rsidTr="00F37A99">
        <w:trPr>
          <w:trHeight w:val="300"/>
        </w:trPr>
        <w:tc>
          <w:tcPr>
            <w:tcW w:w="2561" w:type="dxa"/>
            <w:vAlign w:val="center"/>
          </w:tcPr>
          <w:p w:rsidR="00845B11" w:rsidRPr="006E7129" w:rsidRDefault="00845B11" w:rsidP="00F37A99">
            <w:pPr>
              <w:rPr>
                <w:rFonts w:ascii="Tahoma" w:hAnsi="Tahoma" w:cs="Tahoma"/>
                <w:sz w:val="16"/>
                <w:szCs w:val="16"/>
              </w:rPr>
            </w:pPr>
            <w:r w:rsidRPr="006E7129">
              <w:rPr>
                <w:rFonts w:ascii="Tahoma" w:hAnsi="Tahoma" w:cs="Tahoma"/>
                <w:sz w:val="16"/>
                <w:szCs w:val="16"/>
              </w:rPr>
              <w:t xml:space="preserve">Aberdeen Global </w:t>
            </w:r>
            <w:r>
              <w:rPr>
                <w:rFonts w:ascii="Tahoma" w:hAnsi="Tahoma" w:cs="Tahoma"/>
                <w:sz w:val="16"/>
                <w:szCs w:val="16"/>
              </w:rPr>
              <w:t>II –</w:t>
            </w:r>
            <w:r w:rsidRPr="006E7129">
              <w:rPr>
                <w:rFonts w:ascii="Tahoma" w:hAnsi="Tahoma" w:cs="Tahoma"/>
                <w:sz w:val="16"/>
                <w:szCs w:val="16"/>
              </w:rPr>
              <w:t xml:space="preserve"> </w:t>
            </w:r>
            <w:r w:rsidRPr="00244494">
              <w:rPr>
                <w:rFonts w:ascii="Tahoma" w:hAnsi="Tahoma" w:cs="Tahoma"/>
                <w:sz w:val="16"/>
                <w:szCs w:val="16"/>
              </w:rPr>
              <w:t>Euro Corporate Bond Fund</w:t>
            </w:r>
          </w:p>
        </w:tc>
        <w:tc>
          <w:tcPr>
            <w:tcW w:w="1506" w:type="dxa"/>
          </w:tcPr>
          <w:p w:rsidR="00845B11" w:rsidRPr="006E7129" w:rsidRDefault="00845B11" w:rsidP="00E10566">
            <w:pPr>
              <w:rPr>
                <w:rFonts w:ascii="Tahoma" w:hAnsi="Tahoma" w:cs="Tahoma"/>
                <w:sz w:val="16"/>
                <w:szCs w:val="16"/>
              </w:rPr>
            </w:pPr>
            <w:r>
              <w:rPr>
                <w:rFonts w:ascii="Tahoma" w:hAnsi="Tahoma" w:cs="Tahoma"/>
                <w:sz w:val="16"/>
                <w:szCs w:val="16"/>
              </w:rPr>
              <w:t xml:space="preserve">A-2 Hedged CZK </w:t>
            </w:r>
            <w:proofErr w:type="spellStart"/>
            <w:r w:rsidRPr="006E7129">
              <w:rPr>
                <w:rFonts w:ascii="Tahoma" w:hAnsi="Tahoma" w:cs="Tahoma"/>
                <w:sz w:val="16"/>
                <w:szCs w:val="16"/>
              </w:rPr>
              <w:t>Acc</w:t>
            </w:r>
            <w:proofErr w:type="spellEnd"/>
          </w:p>
        </w:tc>
        <w:tc>
          <w:tcPr>
            <w:tcW w:w="1332" w:type="dxa"/>
          </w:tcPr>
          <w:p w:rsidR="00845B11" w:rsidRPr="008558FD" w:rsidRDefault="00845B11" w:rsidP="00E10566">
            <w:pPr>
              <w:rPr>
                <w:rFonts w:ascii="Tahoma" w:hAnsi="Tahoma" w:cs="Tahoma"/>
                <w:sz w:val="16"/>
                <w:szCs w:val="16"/>
              </w:rPr>
            </w:pPr>
            <w:r w:rsidRPr="008558FD">
              <w:rPr>
                <w:rFonts w:ascii="Tahoma" w:hAnsi="Tahoma" w:cs="Tahoma"/>
                <w:sz w:val="16"/>
                <w:szCs w:val="16"/>
              </w:rPr>
              <w:t>LU0875492679</w:t>
            </w:r>
          </w:p>
          <w:p w:rsidR="00845B11" w:rsidRPr="006E7129" w:rsidRDefault="00845B11" w:rsidP="00E10566">
            <w:pPr>
              <w:rPr>
                <w:rFonts w:ascii="Tahoma" w:hAnsi="Tahoma" w:cs="Tahoma"/>
                <w:sz w:val="16"/>
                <w:szCs w:val="16"/>
              </w:rPr>
            </w:pPr>
          </w:p>
        </w:tc>
        <w:tc>
          <w:tcPr>
            <w:tcW w:w="1791" w:type="dxa"/>
          </w:tcPr>
          <w:p w:rsidR="00845B11" w:rsidRDefault="00845B11" w:rsidP="00E10566">
            <w:pPr>
              <w:rPr>
                <w:rFonts w:ascii="Tahoma" w:hAnsi="Tahoma" w:cs="Tahoma"/>
                <w:sz w:val="16"/>
                <w:szCs w:val="16"/>
              </w:rPr>
            </w:pPr>
            <w:r>
              <w:rPr>
                <w:rFonts w:ascii="Tahoma" w:hAnsi="Tahoma" w:cs="Tahoma"/>
                <w:sz w:val="16"/>
                <w:szCs w:val="16"/>
              </w:rPr>
              <w:t xml:space="preserve">A-2 Base Currency Exposure CZK </w:t>
            </w:r>
            <w:proofErr w:type="spellStart"/>
            <w:r>
              <w:rPr>
                <w:rFonts w:ascii="Tahoma" w:hAnsi="Tahoma" w:cs="Tahoma"/>
                <w:sz w:val="16"/>
                <w:szCs w:val="16"/>
              </w:rPr>
              <w:t>Acc</w:t>
            </w:r>
            <w:proofErr w:type="spellEnd"/>
          </w:p>
        </w:tc>
        <w:tc>
          <w:tcPr>
            <w:tcW w:w="2003" w:type="dxa"/>
            <w:vAlign w:val="center"/>
          </w:tcPr>
          <w:p w:rsidR="00845B11" w:rsidRPr="006E7129" w:rsidRDefault="00845B11" w:rsidP="00F37A99">
            <w:pPr>
              <w:rPr>
                <w:rFonts w:ascii="Tahoma" w:hAnsi="Tahoma" w:cs="Tahoma"/>
                <w:sz w:val="16"/>
                <w:szCs w:val="16"/>
              </w:rPr>
            </w:pPr>
            <w:r w:rsidRPr="006E7129">
              <w:rPr>
                <w:rFonts w:ascii="Tahoma" w:hAnsi="Tahoma" w:cs="Tahoma"/>
                <w:sz w:val="16"/>
                <w:szCs w:val="16"/>
              </w:rPr>
              <w:t>Base Currency Hedged</w:t>
            </w:r>
          </w:p>
        </w:tc>
      </w:tr>
      <w:tr w:rsidR="00845B11" w:rsidRPr="006E7129" w:rsidTr="00F37A99">
        <w:trPr>
          <w:trHeight w:val="300"/>
        </w:trPr>
        <w:tc>
          <w:tcPr>
            <w:tcW w:w="2561" w:type="dxa"/>
            <w:vMerge w:val="restart"/>
            <w:vAlign w:val="center"/>
          </w:tcPr>
          <w:p w:rsidR="00845B11" w:rsidRPr="006E7129" w:rsidRDefault="00845B11" w:rsidP="00F37A99">
            <w:pPr>
              <w:rPr>
                <w:rFonts w:ascii="Tahoma" w:hAnsi="Tahoma" w:cs="Tahoma"/>
                <w:sz w:val="16"/>
                <w:szCs w:val="16"/>
              </w:rPr>
            </w:pPr>
            <w:r w:rsidRPr="006E7129">
              <w:rPr>
                <w:rFonts w:ascii="Tahoma" w:hAnsi="Tahoma" w:cs="Tahoma"/>
                <w:sz w:val="16"/>
                <w:szCs w:val="16"/>
              </w:rPr>
              <w:t xml:space="preserve">Aberdeen Global </w:t>
            </w:r>
            <w:r>
              <w:rPr>
                <w:rFonts w:ascii="Tahoma" w:hAnsi="Tahoma" w:cs="Tahoma"/>
                <w:sz w:val="16"/>
                <w:szCs w:val="16"/>
              </w:rPr>
              <w:t>II –</w:t>
            </w:r>
            <w:r w:rsidRPr="006E7129">
              <w:rPr>
                <w:rFonts w:ascii="Tahoma" w:hAnsi="Tahoma" w:cs="Tahoma"/>
                <w:sz w:val="16"/>
                <w:szCs w:val="16"/>
              </w:rPr>
              <w:t xml:space="preserve"> </w:t>
            </w:r>
            <w:r w:rsidRPr="00244494">
              <w:rPr>
                <w:rFonts w:ascii="Tahoma" w:hAnsi="Tahoma" w:cs="Tahoma"/>
                <w:sz w:val="16"/>
                <w:szCs w:val="16"/>
              </w:rPr>
              <w:t>Global High Yield Bond Fund</w:t>
            </w:r>
          </w:p>
        </w:tc>
        <w:tc>
          <w:tcPr>
            <w:tcW w:w="1506" w:type="dxa"/>
          </w:tcPr>
          <w:p w:rsidR="00845B11" w:rsidRPr="006E7129" w:rsidRDefault="00845B11" w:rsidP="00E10566">
            <w:pPr>
              <w:rPr>
                <w:rFonts w:ascii="Tahoma" w:hAnsi="Tahoma" w:cs="Tahoma"/>
                <w:sz w:val="16"/>
                <w:szCs w:val="16"/>
              </w:rPr>
            </w:pPr>
            <w:r w:rsidRPr="006E7129">
              <w:rPr>
                <w:rFonts w:ascii="Tahoma" w:hAnsi="Tahoma" w:cs="Tahoma"/>
                <w:sz w:val="16"/>
                <w:szCs w:val="16"/>
              </w:rPr>
              <w:t>A</w:t>
            </w:r>
            <w:r>
              <w:rPr>
                <w:rFonts w:ascii="Tahoma" w:hAnsi="Tahoma" w:cs="Tahoma"/>
                <w:sz w:val="16"/>
                <w:szCs w:val="16"/>
              </w:rPr>
              <w:t>-1</w:t>
            </w:r>
            <w:r w:rsidRPr="006E7129">
              <w:rPr>
                <w:rFonts w:ascii="Tahoma" w:hAnsi="Tahoma" w:cs="Tahoma"/>
                <w:sz w:val="16"/>
                <w:szCs w:val="16"/>
              </w:rPr>
              <w:t xml:space="preserve"> Hedged EUR </w:t>
            </w:r>
            <w:proofErr w:type="spellStart"/>
            <w:r w:rsidRPr="006E7129">
              <w:rPr>
                <w:rFonts w:ascii="Tahoma" w:hAnsi="Tahoma" w:cs="Tahoma"/>
                <w:sz w:val="16"/>
                <w:szCs w:val="16"/>
              </w:rPr>
              <w:t>Acc</w:t>
            </w:r>
            <w:proofErr w:type="spellEnd"/>
          </w:p>
        </w:tc>
        <w:tc>
          <w:tcPr>
            <w:tcW w:w="1332" w:type="dxa"/>
          </w:tcPr>
          <w:p w:rsidR="00845B11" w:rsidRPr="008558FD" w:rsidRDefault="00845B11" w:rsidP="00E10566">
            <w:pPr>
              <w:rPr>
                <w:rFonts w:ascii="Tahoma" w:hAnsi="Tahoma" w:cs="Tahoma"/>
                <w:sz w:val="16"/>
                <w:szCs w:val="16"/>
              </w:rPr>
            </w:pPr>
            <w:r w:rsidRPr="008558FD">
              <w:rPr>
                <w:rFonts w:ascii="Tahoma" w:hAnsi="Tahoma" w:cs="Tahoma"/>
                <w:sz w:val="16"/>
                <w:szCs w:val="16"/>
              </w:rPr>
              <w:t>LU1016763408</w:t>
            </w:r>
          </w:p>
          <w:p w:rsidR="00845B11" w:rsidRPr="006E7129" w:rsidRDefault="00845B11" w:rsidP="00E10566">
            <w:pPr>
              <w:rPr>
                <w:rFonts w:ascii="Tahoma" w:hAnsi="Tahoma" w:cs="Tahoma"/>
                <w:sz w:val="16"/>
                <w:szCs w:val="16"/>
              </w:rPr>
            </w:pPr>
          </w:p>
        </w:tc>
        <w:tc>
          <w:tcPr>
            <w:tcW w:w="1791" w:type="dxa"/>
          </w:tcPr>
          <w:p w:rsidR="00845B11" w:rsidRDefault="00845B11" w:rsidP="00E10566">
            <w:pPr>
              <w:rPr>
                <w:rFonts w:ascii="Tahoma" w:hAnsi="Tahoma" w:cs="Tahoma"/>
                <w:sz w:val="16"/>
                <w:szCs w:val="16"/>
              </w:rPr>
            </w:pPr>
            <w:r>
              <w:rPr>
                <w:rFonts w:ascii="Tahoma" w:hAnsi="Tahoma" w:cs="Tahoma"/>
                <w:sz w:val="16"/>
                <w:szCs w:val="16"/>
              </w:rPr>
              <w:t xml:space="preserve">A-1 Base Currency Exposure EUR </w:t>
            </w:r>
            <w:proofErr w:type="spellStart"/>
            <w:r>
              <w:rPr>
                <w:rFonts w:ascii="Tahoma" w:hAnsi="Tahoma" w:cs="Tahoma"/>
                <w:sz w:val="16"/>
                <w:szCs w:val="16"/>
              </w:rPr>
              <w:t>Acc</w:t>
            </w:r>
            <w:proofErr w:type="spellEnd"/>
          </w:p>
        </w:tc>
        <w:tc>
          <w:tcPr>
            <w:tcW w:w="2003" w:type="dxa"/>
            <w:vMerge w:val="restart"/>
            <w:vAlign w:val="center"/>
          </w:tcPr>
          <w:p w:rsidR="00845B11" w:rsidRPr="006E7129" w:rsidRDefault="00845B11" w:rsidP="00F37A99">
            <w:pPr>
              <w:rPr>
                <w:rFonts w:ascii="Tahoma" w:hAnsi="Tahoma" w:cs="Tahoma"/>
                <w:sz w:val="16"/>
                <w:szCs w:val="16"/>
              </w:rPr>
            </w:pPr>
            <w:r w:rsidRPr="006E7129">
              <w:rPr>
                <w:rFonts w:ascii="Tahoma" w:hAnsi="Tahoma" w:cs="Tahoma"/>
                <w:sz w:val="16"/>
                <w:szCs w:val="16"/>
              </w:rPr>
              <w:t>Base Currency Hedged</w:t>
            </w:r>
          </w:p>
        </w:tc>
      </w:tr>
      <w:tr w:rsidR="00F37A99" w:rsidRPr="006E7129" w:rsidTr="00F37A99">
        <w:trPr>
          <w:trHeight w:val="341"/>
        </w:trPr>
        <w:tc>
          <w:tcPr>
            <w:tcW w:w="2561" w:type="dxa"/>
            <w:vMerge/>
            <w:vAlign w:val="center"/>
          </w:tcPr>
          <w:p w:rsidR="00F37A99" w:rsidRPr="006E7129" w:rsidRDefault="00F37A99" w:rsidP="00F37A99">
            <w:pPr>
              <w:rPr>
                <w:rFonts w:ascii="Tahoma" w:hAnsi="Tahoma" w:cs="Tahoma"/>
                <w:sz w:val="16"/>
                <w:szCs w:val="16"/>
              </w:rPr>
            </w:pPr>
          </w:p>
        </w:tc>
        <w:tc>
          <w:tcPr>
            <w:tcW w:w="1506" w:type="dxa"/>
          </w:tcPr>
          <w:p w:rsidR="00F37A99" w:rsidRPr="006E7129" w:rsidRDefault="00F37A99" w:rsidP="00E10566">
            <w:pPr>
              <w:rPr>
                <w:rFonts w:ascii="Tahoma" w:hAnsi="Tahoma" w:cs="Tahoma"/>
                <w:sz w:val="16"/>
                <w:szCs w:val="16"/>
              </w:rPr>
            </w:pPr>
            <w:r>
              <w:rPr>
                <w:rFonts w:ascii="Tahoma" w:hAnsi="Tahoma" w:cs="Tahoma"/>
                <w:sz w:val="16"/>
                <w:szCs w:val="16"/>
              </w:rPr>
              <w:t>I-2</w:t>
            </w:r>
            <w:r w:rsidRPr="006E7129">
              <w:rPr>
                <w:rFonts w:ascii="Tahoma" w:hAnsi="Tahoma" w:cs="Tahoma"/>
                <w:sz w:val="16"/>
                <w:szCs w:val="16"/>
              </w:rPr>
              <w:t xml:space="preserve"> Hedged EUR </w:t>
            </w:r>
            <w:proofErr w:type="spellStart"/>
            <w:r w:rsidRPr="006E7129">
              <w:rPr>
                <w:rFonts w:ascii="Tahoma" w:hAnsi="Tahoma" w:cs="Tahoma"/>
                <w:sz w:val="16"/>
                <w:szCs w:val="16"/>
              </w:rPr>
              <w:t>Acc</w:t>
            </w:r>
            <w:proofErr w:type="spellEnd"/>
          </w:p>
        </w:tc>
        <w:tc>
          <w:tcPr>
            <w:tcW w:w="1332" w:type="dxa"/>
          </w:tcPr>
          <w:p w:rsidR="00F37A99" w:rsidRPr="006E7129" w:rsidRDefault="00F37A99" w:rsidP="00E10566">
            <w:pPr>
              <w:rPr>
                <w:rFonts w:ascii="Tahoma" w:hAnsi="Tahoma" w:cs="Tahoma"/>
                <w:sz w:val="16"/>
                <w:szCs w:val="16"/>
              </w:rPr>
            </w:pPr>
            <w:r w:rsidRPr="008558FD">
              <w:rPr>
                <w:rFonts w:ascii="Tahoma" w:hAnsi="Tahoma" w:cs="Tahoma"/>
                <w:sz w:val="16"/>
                <w:szCs w:val="16"/>
              </w:rPr>
              <w:t>LU1016766096</w:t>
            </w:r>
          </w:p>
        </w:tc>
        <w:tc>
          <w:tcPr>
            <w:tcW w:w="1791" w:type="dxa"/>
          </w:tcPr>
          <w:p w:rsidR="00F37A99" w:rsidRDefault="00F37A99" w:rsidP="00E10566">
            <w:pPr>
              <w:rPr>
                <w:rFonts w:ascii="Tahoma" w:hAnsi="Tahoma" w:cs="Tahoma"/>
                <w:sz w:val="16"/>
                <w:szCs w:val="16"/>
              </w:rPr>
            </w:pPr>
            <w:r>
              <w:rPr>
                <w:rFonts w:ascii="Tahoma" w:hAnsi="Tahoma" w:cs="Tahoma"/>
                <w:sz w:val="16"/>
                <w:szCs w:val="16"/>
              </w:rPr>
              <w:t xml:space="preserve">I-2 Base Currency Exposure EUR </w:t>
            </w:r>
            <w:proofErr w:type="spellStart"/>
            <w:r>
              <w:rPr>
                <w:rFonts w:ascii="Tahoma" w:hAnsi="Tahoma" w:cs="Tahoma"/>
                <w:sz w:val="16"/>
                <w:szCs w:val="16"/>
              </w:rPr>
              <w:t>Acc</w:t>
            </w:r>
            <w:proofErr w:type="spellEnd"/>
          </w:p>
        </w:tc>
        <w:tc>
          <w:tcPr>
            <w:tcW w:w="2003" w:type="dxa"/>
            <w:vMerge/>
            <w:vAlign w:val="center"/>
          </w:tcPr>
          <w:p w:rsidR="00F37A99" w:rsidRPr="006E7129" w:rsidRDefault="00F37A99" w:rsidP="00F37A99">
            <w:pPr>
              <w:rPr>
                <w:rFonts w:ascii="Tahoma" w:hAnsi="Tahoma" w:cs="Tahoma"/>
                <w:sz w:val="16"/>
                <w:szCs w:val="16"/>
              </w:rPr>
            </w:pPr>
          </w:p>
        </w:tc>
      </w:tr>
      <w:tr w:rsidR="00845B11" w:rsidRPr="006E7129" w:rsidTr="00F37A99">
        <w:trPr>
          <w:trHeight w:val="300"/>
        </w:trPr>
        <w:tc>
          <w:tcPr>
            <w:tcW w:w="2561" w:type="dxa"/>
            <w:vMerge w:val="restart"/>
            <w:vAlign w:val="center"/>
          </w:tcPr>
          <w:p w:rsidR="00845B11" w:rsidRPr="006E7129" w:rsidRDefault="00845B11" w:rsidP="00F37A99">
            <w:pPr>
              <w:rPr>
                <w:rFonts w:ascii="Tahoma" w:hAnsi="Tahoma" w:cs="Tahoma"/>
                <w:sz w:val="16"/>
                <w:szCs w:val="16"/>
              </w:rPr>
            </w:pPr>
            <w:r w:rsidRPr="006E7129">
              <w:rPr>
                <w:rFonts w:ascii="Tahoma" w:hAnsi="Tahoma" w:cs="Tahoma"/>
                <w:sz w:val="16"/>
                <w:szCs w:val="16"/>
              </w:rPr>
              <w:t xml:space="preserve">Aberdeen Global </w:t>
            </w:r>
            <w:r>
              <w:rPr>
                <w:rFonts w:ascii="Tahoma" w:hAnsi="Tahoma" w:cs="Tahoma"/>
                <w:sz w:val="16"/>
                <w:szCs w:val="16"/>
              </w:rPr>
              <w:t>II –</w:t>
            </w:r>
            <w:r w:rsidRPr="006E7129">
              <w:rPr>
                <w:rFonts w:ascii="Tahoma" w:hAnsi="Tahoma" w:cs="Tahoma"/>
                <w:sz w:val="16"/>
                <w:szCs w:val="16"/>
              </w:rPr>
              <w:t xml:space="preserve"> </w:t>
            </w:r>
            <w:r w:rsidRPr="00244494">
              <w:rPr>
                <w:rFonts w:ascii="Tahoma" w:hAnsi="Tahoma" w:cs="Tahoma"/>
                <w:sz w:val="16"/>
                <w:szCs w:val="16"/>
              </w:rPr>
              <w:t>US Dollar High Yield Bond</w:t>
            </w:r>
            <w:r>
              <w:rPr>
                <w:rFonts w:ascii="Tahoma" w:hAnsi="Tahoma" w:cs="Tahoma"/>
                <w:sz w:val="16"/>
                <w:szCs w:val="16"/>
              </w:rPr>
              <w:t xml:space="preserve"> </w:t>
            </w:r>
            <w:r w:rsidRPr="006E7129">
              <w:rPr>
                <w:rFonts w:ascii="Tahoma" w:hAnsi="Tahoma" w:cs="Tahoma"/>
                <w:sz w:val="16"/>
                <w:szCs w:val="16"/>
              </w:rPr>
              <w:t>Fund</w:t>
            </w:r>
          </w:p>
          <w:p w:rsidR="00845B11" w:rsidRPr="006E7129" w:rsidRDefault="00845B11" w:rsidP="00F37A99">
            <w:pPr>
              <w:rPr>
                <w:rFonts w:ascii="Tahoma" w:hAnsi="Tahoma" w:cs="Tahoma"/>
                <w:sz w:val="16"/>
                <w:szCs w:val="16"/>
              </w:rPr>
            </w:pPr>
          </w:p>
        </w:tc>
        <w:tc>
          <w:tcPr>
            <w:tcW w:w="1506" w:type="dxa"/>
          </w:tcPr>
          <w:p w:rsidR="00845B11" w:rsidRDefault="00845B11" w:rsidP="00E10566">
            <w:pPr>
              <w:rPr>
                <w:rFonts w:ascii="Tahoma" w:hAnsi="Tahoma" w:cs="Tahoma"/>
                <w:sz w:val="16"/>
                <w:szCs w:val="16"/>
              </w:rPr>
            </w:pPr>
            <w:r w:rsidRPr="006E7129">
              <w:rPr>
                <w:rFonts w:ascii="Tahoma" w:hAnsi="Tahoma" w:cs="Tahoma"/>
                <w:sz w:val="16"/>
                <w:szCs w:val="16"/>
              </w:rPr>
              <w:t>A</w:t>
            </w:r>
            <w:r>
              <w:rPr>
                <w:rFonts w:ascii="Tahoma" w:hAnsi="Tahoma" w:cs="Tahoma"/>
                <w:sz w:val="16"/>
                <w:szCs w:val="16"/>
              </w:rPr>
              <w:t>-</w:t>
            </w:r>
            <w:r w:rsidRPr="006E7129">
              <w:rPr>
                <w:rFonts w:ascii="Tahoma" w:hAnsi="Tahoma" w:cs="Tahoma"/>
                <w:sz w:val="16"/>
                <w:szCs w:val="16"/>
              </w:rPr>
              <w:t xml:space="preserve">2 Hedged EUR </w:t>
            </w:r>
            <w:proofErr w:type="spellStart"/>
            <w:r w:rsidRPr="006E7129">
              <w:rPr>
                <w:rFonts w:ascii="Tahoma" w:hAnsi="Tahoma" w:cs="Tahoma"/>
                <w:sz w:val="16"/>
                <w:szCs w:val="16"/>
              </w:rPr>
              <w:t>Acc</w:t>
            </w:r>
            <w:proofErr w:type="spellEnd"/>
          </w:p>
        </w:tc>
        <w:tc>
          <w:tcPr>
            <w:tcW w:w="1332" w:type="dxa"/>
          </w:tcPr>
          <w:p w:rsidR="00845B11" w:rsidRPr="008558FD" w:rsidRDefault="00845B11" w:rsidP="00E10566">
            <w:pPr>
              <w:rPr>
                <w:rFonts w:ascii="Tahoma" w:hAnsi="Tahoma" w:cs="Tahoma"/>
                <w:sz w:val="16"/>
                <w:szCs w:val="16"/>
              </w:rPr>
            </w:pPr>
            <w:r w:rsidRPr="008558FD">
              <w:rPr>
                <w:rFonts w:ascii="Tahoma" w:hAnsi="Tahoma" w:cs="Tahoma"/>
                <w:sz w:val="16"/>
                <w:szCs w:val="16"/>
              </w:rPr>
              <w:t>LU0924022667</w:t>
            </w:r>
          </w:p>
        </w:tc>
        <w:tc>
          <w:tcPr>
            <w:tcW w:w="1791" w:type="dxa"/>
          </w:tcPr>
          <w:p w:rsidR="00845B11" w:rsidRDefault="00845B11" w:rsidP="00E10566">
            <w:pPr>
              <w:rPr>
                <w:rFonts w:ascii="Tahoma" w:hAnsi="Tahoma" w:cs="Tahoma"/>
                <w:sz w:val="16"/>
                <w:szCs w:val="16"/>
              </w:rPr>
            </w:pPr>
            <w:r>
              <w:rPr>
                <w:rFonts w:ascii="Tahoma" w:hAnsi="Tahoma" w:cs="Tahoma"/>
                <w:sz w:val="16"/>
                <w:szCs w:val="16"/>
              </w:rPr>
              <w:t xml:space="preserve">A-2 Base Currency Exposure EUR </w:t>
            </w:r>
            <w:proofErr w:type="spellStart"/>
            <w:r>
              <w:rPr>
                <w:rFonts w:ascii="Tahoma" w:hAnsi="Tahoma" w:cs="Tahoma"/>
                <w:sz w:val="16"/>
                <w:szCs w:val="16"/>
              </w:rPr>
              <w:t>Acc</w:t>
            </w:r>
            <w:proofErr w:type="spellEnd"/>
          </w:p>
        </w:tc>
        <w:tc>
          <w:tcPr>
            <w:tcW w:w="2003" w:type="dxa"/>
            <w:vMerge w:val="restart"/>
            <w:vAlign w:val="center"/>
          </w:tcPr>
          <w:p w:rsidR="00845B11" w:rsidRPr="006E7129" w:rsidRDefault="00845B11" w:rsidP="00F37A99">
            <w:pPr>
              <w:rPr>
                <w:rFonts w:ascii="Tahoma" w:hAnsi="Tahoma" w:cs="Tahoma"/>
                <w:sz w:val="16"/>
                <w:szCs w:val="16"/>
              </w:rPr>
            </w:pPr>
            <w:r w:rsidRPr="006E7129">
              <w:rPr>
                <w:rFonts w:ascii="Tahoma" w:hAnsi="Tahoma" w:cs="Tahoma"/>
                <w:sz w:val="16"/>
                <w:szCs w:val="16"/>
              </w:rPr>
              <w:t>Base Currency Hedged</w:t>
            </w:r>
          </w:p>
          <w:p w:rsidR="00845B11" w:rsidRPr="006E7129" w:rsidRDefault="00845B11" w:rsidP="00F37A99">
            <w:pPr>
              <w:rPr>
                <w:rFonts w:ascii="Tahoma" w:hAnsi="Tahoma" w:cs="Tahoma"/>
                <w:sz w:val="16"/>
                <w:szCs w:val="16"/>
              </w:rPr>
            </w:pPr>
          </w:p>
        </w:tc>
      </w:tr>
      <w:tr w:rsidR="00845B11" w:rsidRPr="006E7129" w:rsidTr="00E10566">
        <w:trPr>
          <w:trHeight w:val="300"/>
        </w:trPr>
        <w:tc>
          <w:tcPr>
            <w:tcW w:w="2561" w:type="dxa"/>
            <w:vMerge/>
          </w:tcPr>
          <w:p w:rsidR="00845B11" w:rsidRPr="006E7129" w:rsidRDefault="00845B11" w:rsidP="00E10566">
            <w:pPr>
              <w:rPr>
                <w:rFonts w:ascii="Tahoma" w:hAnsi="Tahoma" w:cs="Tahoma"/>
                <w:sz w:val="16"/>
                <w:szCs w:val="16"/>
              </w:rPr>
            </w:pPr>
          </w:p>
        </w:tc>
        <w:tc>
          <w:tcPr>
            <w:tcW w:w="1506" w:type="dxa"/>
          </w:tcPr>
          <w:p w:rsidR="00845B11" w:rsidRDefault="00845B11" w:rsidP="00E10566">
            <w:pPr>
              <w:rPr>
                <w:rFonts w:ascii="Tahoma" w:hAnsi="Tahoma" w:cs="Tahoma"/>
                <w:sz w:val="16"/>
                <w:szCs w:val="16"/>
              </w:rPr>
            </w:pPr>
            <w:r w:rsidRPr="006E7129">
              <w:rPr>
                <w:rFonts w:ascii="Tahoma" w:hAnsi="Tahoma" w:cs="Tahoma"/>
                <w:sz w:val="16"/>
                <w:szCs w:val="16"/>
              </w:rPr>
              <w:t>I</w:t>
            </w:r>
            <w:r>
              <w:rPr>
                <w:rFonts w:ascii="Tahoma" w:hAnsi="Tahoma" w:cs="Tahoma"/>
                <w:sz w:val="16"/>
                <w:szCs w:val="16"/>
              </w:rPr>
              <w:t>-</w:t>
            </w:r>
            <w:r w:rsidRPr="006E7129">
              <w:rPr>
                <w:rFonts w:ascii="Tahoma" w:hAnsi="Tahoma" w:cs="Tahoma"/>
                <w:sz w:val="16"/>
                <w:szCs w:val="16"/>
              </w:rPr>
              <w:t xml:space="preserve">2 Hedged EUR </w:t>
            </w:r>
            <w:proofErr w:type="spellStart"/>
            <w:r w:rsidRPr="006E7129">
              <w:rPr>
                <w:rFonts w:ascii="Tahoma" w:hAnsi="Tahoma" w:cs="Tahoma"/>
                <w:sz w:val="16"/>
                <w:szCs w:val="16"/>
              </w:rPr>
              <w:t>Acc</w:t>
            </w:r>
            <w:proofErr w:type="spellEnd"/>
          </w:p>
        </w:tc>
        <w:tc>
          <w:tcPr>
            <w:tcW w:w="1332" w:type="dxa"/>
          </w:tcPr>
          <w:p w:rsidR="00845B11" w:rsidRPr="008558FD" w:rsidRDefault="00845B11" w:rsidP="00E10566">
            <w:pPr>
              <w:rPr>
                <w:rFonts w:ascii="Tahoma" w:hAnsi="Tahoma" w:cs="Tahoma"/>
                <w:sz w:val="16"/>
                <w:szCs w:val="16"/>
              </w:rPr>
            </w:pPr>
            <w:r w:rsidRPr="008558FD">
              <w:rPr>
                <w:rFonts w:ascii="Tahoma" w:hAnsi="Tahoma" w:cs="Tahoma"/>
                <w:sz w:val="16"/>
                <w:szCs w:val="16"/>
              </w:rPr>
              <w:t>LU0304234379</w:t>
            </w:r>
          </w:p>
        </w:tc>
        <w:tc>
          <w:tcPr>
            <w:tcW w:w="1791" w:type="dxa"/>
          </w:tcPr>
          <w:p w:rsidR="00845B11" w:rsidRDefault="00845B11" w:rsidP="00E10566">
            <w:pPr>
              <w:rPr>
                <w:rFonts w:ascii="Tahoma" w:hAnsi="Tahoma" w:cs="Tahoma"/>
                <w:sz w:val="16"/>
                <w:szCs w:val="16"/>
              </w:rPr>
            </w:pPr>
            <w:r>
              <w:rPr>
                <w:rFonts w:ascii="Tahoma" w:hAnsi="Tahoma" w:cs="Tahoma"/>
                <w:sz w:val="16"/>
                <w:szCs w:val="16"/>
              </w:rPr>
              <w:t xml:space="preserve">I-2 Base Currency Exposure EUR </w:t>
            </w:r>
            <w:proofErr w:type="spellStart"/>
            <w:r>
              <w:rPr>
                <w:rFonts w:ascii="Tahoma" w:hAnsi="Tahoma" w:cs="Tahoma"/>
                <w:sz w:val="16"/>
                <w:szCs w:val="16"/>
              </w:rPr>
              <w:t>Acc</w:t>
            </w:r>
            <w:proofErr w:type="spellEnd"/>
          </w:p>
        </w:tc>
        <w:tc>
          <w:tcPr>
            <w:tcW w:w="2003" w:type="dxa"/>
            <w:vMerge/>
          </w:tcPr>
          <w:p w:rsidR="00845B11" w:rsidRPr="006E7129" w:rsidRDefault="00845B11" w:rsidP="00E10566">
            <w:pPr>
              <w:rPr>
                <w:rFonts w:ascii="Tahoma" w:hAnsi="Tahoma" w:cs="Tahoma"/>
                <w:sz w:val="16"/>
                <w:szCs w:val="16"/>
              </w:rPr>
            </w:pPr>
          </w:p>
        </w:tc>
      </w:tr>
    </w:tbl>
    <w:p w:rsidR="00845B11" w:rsidRDefault="00845B11" w:rsidP="00845B11">
      <w:pPr>
        <w:jc w:val="both"/>
        <w:rPr>
          <w:b/>
          <w:sz w:val="22"/>
          <w:szCs w:val="22"/>
        </w:rPr>
      </w:pPr>
    </w:p>
    <w:p w:rsidR="00845B11" w:rsidRPr="003B4A18" w:rsidRDefault="00845B11" w:rsidP="00845B11">
      <w:pPr>
        <w:pStyle w:val="BodyText1"/>
        <w:rPr>
          <w:b/>
          <w:snapToGrid/>
          <w:color w:val="auto"/>
          <w:sz w:val="22"/>
          <w:szCs w:val="22"/>
          <w:lang w:eastAsia="fr-FR"/>
        </w:rPr>
      </w:pPr>
      <w:r w:rsidRPr="003B4A18">
        <w:rPr>
          <w:b/>
          <w:snapToGrid/>
          <w:color w:val="auto"/>
          <w:sz w:val="22"/>
          <w:szCs w:val="22"/>
          <w:lang w:eastAsia="fr-FR"/>
        </w:rPr>
        <w:t>*Please refer to www.aberdeen-asset.com for up-to-date details of the Base Currency Share Class category according to the assets of the sub-fund at any time.</w:t>
      </w:r>
    </w:p>
    <w:p w:rsidR="00845B11" w:rsidRPr="00EE095F" w:rsidRDefault="00845B11" w:rsidP="00845B11">
      <w:pPr>
        <w:jc w:val="both"/>
        <w:rPr>
          <w:b/>
          <w:sz w:val="22"/>
          <w:szCs w:val="22"/>
        </w:rPr>
      </w:pPr>
    </w:p>
    <w:p w:rsidR="00A422D7" w:rsidRDefault="00A422D7" w:rsidP="00083292">
      <w:pPr>
        <w:pStyle w:val="04Mainbodytext"/>
      </w:pPr>
    </w:p>
    <w:p w:rsidR="00B35362" w:rsidRPr="00083292" w:rsidRDefault="00B35362" w:rsidP="00083292">
      <w:pPr>
        <w:pStyle w:val="04Mainbodytext"/>
      </w:pPr>
    </w:p>
    <w:sectPr w:rsidR="00B35362" w:rsidRPr="00083292" w:rsidSect="00A422D7">
      <w:headerReference w:type="default" r:id="rId11"/>
      <w:footerReference w:type="default" r:id="rId12"/>
      <w:headerReference w:type="first" r:id="rId13"/>
      <w:footerReference w:type="first" r:id="rId14"/>
      <w:pgSz w:w="11907" w:h="16840" w:code="9"/>
      <w:pgMar w:top="851" w:right="851" w:bottom="454" w:left="1418" w:header="2268" w:footer="42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86C" w:rsidRDefault="00D7086C">
      <w:r>
        <w:separator/>
      </w:r>
    </w:p>
  </w:endnote>
  <w:endnote w:type="continuationSeparator" w:id="0">
    <w:p w:rsidR="00D7086C" w:rsidRDefault="00D7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Bliss Light">
    <w:panose1 w:val="02000000000000000000"/>
    <w:charset w:val="00"/>
    <w:family w:val="auto"/>
    <w:pitch w:val="variable"/>
    <w:sig w:usb0="800000AF" w:usb1="4000004A" w:usb2="00000000" w:usb3="00000000" w:csb0="00000001" w:csb1="00000000"/>
  </w:font>
  <w:font w:name="Bliss-Bold">
    <w:altName w:val="Bliss Bold"/>
    <w:panose1 w:val="00000000000000000000"/>
    <w:charset w:val="00"/>
    <w:family w:val="auto"/>
    <w:notTrueType/>
    <w:pitch w:val="default"/>
    <w:sig w:usb0="00000003" w:usb1="00000000" w:usb2="00000000" w:usb3="00000000" w:csb0="00000001" w:csb1="00000000"/>
  </w:font>
  <w:font w:name="Bliss2-Light">
    <w:altName w:val="Bliss 2 Light"/>
    <w:panose1 w:val="020005060300000200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92" w:rsidRPr="004F5B7B" w:rsidRDefault="00083292">
    <w:pPr>
      <w:tabs>
        <w:tab w:val="right" w:pos="10490"/>
      </w:tabs>
      <w:rPr>
        <w:rFonts w:ascii="Bliss Light" w:hAnsi="Bliss Light"/>
        <w:sz w:val="16"/>
        <w:szCs w:val="16"/>
      </w:rPr>
    </w:pPr>
  </w:p>
  <w:p w:rsidR="00083292" w:rsidRPr="004F5B7B" w:rsidRDefault="00083292">
    <w:pPr>
      <w:tabs>
        <w:tab w:val="right" w:pos="10490"/>
      </w:tabs>
      <w:rPr>
        <w:rFonts w:ascii="Bliss Light" w:hAnsi="Bliss Light"/>
        <w:sz w:val="16"/>
        <w:szCs w:val="16"/>
      </w:rPr>
    </w:pPr>
  </w:p>
  <w:p w:rsidR="00083292" w:rsidRPr="004F5B7B" w:rsidRDefault="00083292">
    <w:pPr>
      <w:tabs>
        <w:tab w:val="right" w:pos="10490"/>
      </w:tabs>
      <w:rPr>
        <w:rFonts w:ascii="Bliss Light" w:hAnsi="Bliss Light"/>
        <w:sz w:val="16"/>
        <w:szCs w:val="16"/>
      </w:rPr>
    </w:pPr>
  </w:p>
  <w:p w:rsidR="00083292" w:rsidRDefault="00083292">
    <w:pPr>
      <w:tabs>
        <w:tab w:val="right" w:pos="10490"/>
      </w:tabs>
      <w:rPr>
        <w:rFonts w:ascii="Bliss Light" w:hAnsi="Bliss Light"/>
        <w:sz w:val="16"/>
        <w:szCs w:val="16"/>
      </w:rPr>
    </w:pPr>
  </w:p>
  <w:p w:rsidR="00083292" w:rsidRPr="004F5B7B" w:rsidRDefault="00083292">
    <w:pPr>
      <w:tabs>
        <w:tab w:val="right" w:pos="10490"/>
      </w:tabs>
      <w:rPr>
        <w:rFonts w:ascii="Bliss Light" w:hAnsi="Bliss Light"/>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92" w:rsidRDefault="00083292" w:rsidP="008A1EAE">
    <w:pPr>
      <w:tabs>
        <w:tab w:val="left" w:pos="1720"/>
      </w:tabs>
      <w:autoSpaceDE w:val="0"/>
      <w:autoSpaceDN w:val="0"/>
      <w:adjustRightInd w:val="0"/>
      <w:spacing w:line="288" w:lineRule="auto"/>
      <w:rPr>
        <w:rFonts w:ascii="Bliss Light" w:hAnsi="Bliss Light" w:cs="Bliss-Bold"/>
        <w:b/>
        <w:bCs/>
        <w:color w:val="000000"/>
        <w:spacing w:val="-2"/>
        <w:sz w:val="16"/>
        <w:szCs w:val="16"/>
        <w:lang w:eastAsia="en-US"/>
      </w:rPr>
    </w:pPr>
  </w:p>
  <w:p w:rsidR="00083292" w:rsidRDefault="00083292" w:rsidP="008A1EAE">
    <w:pPr>
      <w:tabs>
        <w:tab w:val="left" w:pos="1720"/>
      </w:tabs>
      <w:autoSpaceDE w:val="0"/>
      <w:autoSpaceDN w:val="0"/>
      <w:adjustRightInd w:val="0"/>
      <w:spacing w:line="288" w:lineRule="auto"/>
      <w:rPr>
        <w:rFonts w:ascii="Bliss Light" w:hAnsi="Bliss Light" w:cs="Bliss-Bold"/>
        <w:b/>
        <w:bCs/>
        <w:color w:val="000000"/>
        <w:spacing w:val="-2"/>
        <w:sz w:val="16"/>
        <w:szCs w:val="16"/>
        <w:lang w:eastAsia="en-US"/>
      </w:rPr>
    </w:pPr>
  </w:p>
  <w:p w:rsidR="00083292" w:rsidRDefault="00083292" w:rsidP="008A1EAE">
    <w:pPr>
      <w:tabs>
        <w:tab w:val="left" w:pos="1720"/>
      </w:tabs>
      <w:autoSpaceDE w:val="0"/>
      <w:autoSpaceDN w:val="0"/>
      <w:adjustRightInd w:val="0"/>
      <w:spacing w:line="288" w:lineRule="auto"/>
      <w:rPr>
        <w:rFonts w:ascii="Bliss Light" w:hAnsi="Bliss Light" w:cs="Bliss-Bold"/>
        <w:b/>
        <w:bCs/>
        <w:color w:val="000000"/>
        <w:spacing w:val="-2"/>
        <w:sz w:val="16"/>
        <w:szCs w:val="16"/>
        <w:lang w:eastAsia="en-US"/>
      </w:rPr>
    </w:pPr>
  </w:p>
  <w:p w:rsidR="00083292" w:rsidRDefault="00083292" w:rsidP="008A1EAE">
    <w:pPr>
      <w:tabs>
        <w:tab w:val="left" w:pos="1720"/>
      </w:tabs>
      <w:autoSpaceDE w:val="0"/>
      <w:autoSpaceDN w:val="0"/>
      <w:adjustRightInd w:val="0"/>
      <w:spacing w:line="288" w:lineRule="auto"/>
      <w:rPr>
        <w:rFonts w:ascii="Bliss Light" w:hAnsi="Bliss Light" w:cs="Bliss-Bold"/>
        <w:b/>
        <w:bCs/>
        <w:color w:val="000000"/>
        <w:spacing w:val="-2"/>
        <w:sz w:val="16"/>
        <w:szCs w:val="16"/>
        <w:lang w:eastAsia="en-US"/>
      </w:rPr>
    </w:pPr>
  </w:p>
  <w:p w:rsidR="00083292" w:rsidRDefault="00083292" w:rsidP="008A1EAE">
    <w:pPr>
      <w:tabs>
        <w:tab w:val="left" w:pos="1720"/>
      </w:tabs>
      <w:autoSpaceDE w:val="0"/>
      <w:autoSpaceDN w:val="0"/>
      <w:adjustRightInd w:val="0"/>
      <w:spacing w:line="288" w:lineRule="auto"/>
      <w:rPr>
        <w:rFonts w:ascii="Bliss Light" w:hAnsi="Bliss Light" w:cs="Bliss-Bold"/>
        <w:b/>
        <w:bCs/>
        <w:color w:val="000000"/>
        <w:spacing w:val="-2"/>
        <w:sz w:val="16"/>
        <w:szCs w:val="16"/>
        <w:lang w:eastAsia="en-US"/>
      </w:rPr>
    </w:pPr>
  </w:p>
  <w:p w:rsidR="00083292" w:rsidRDefault="00083292" w:rsidP="008A1EAE">
    <w:pPr>
      <w:tabs>
        <w:tab w:val="left" w:pos="1720"/>
      </w:tabs>
      <w:autoSpaceDE w:val="0"/>
      <w:autoSpaceDN w:val="0"/>
      <w:adjustRightInd w:val="0"/>
      <w:spacing w:line="288" w:lineRule="auto"/>
      <w:rPr>
        <w:rFonts w:ascii="Bliss Light" w:hAnsi="Bliss Light" w:cs="Bliss-Bold"/>
        <w:b/>
        <w:bCs/>
        <w:color w:val="000000"/>
        <w:spacing w:val="-2"/>
        <w:sz w:val="16"/>
        <w:szCs w:val="16"/>
        <w:lang w:eastAsia="en-US"/>
      </w:rPr>
    </w:pPr>
  </w:p>
  <w:p w:rsidR="00D23F38" w:rsidRPr="00D23F38" w:rsidRDefault="00D23F38" w:rsidP="00D23F38">
    <w:pPr>
      <w:pStyle w:val="01AAMAddressfooter"/>
      <w:rPr>
        <w:b/>
        <w:lang w:val="de-DE"/>
      </w:rPr>
    </w:pPr>
    <w:r w:rsidRPr="00D23F38">
      <w:rPr>
        <w:b/>
        <w:lang w:val="de-DE"/>
      </w:rPr>
      <w:t>Aberdeen Global II</w:t>
    </w:r>
  </w:p>
  <w:p w:rsidR="00D23F38" w:rsidRPr="00D23F38" w:rsidRDefault="00D23F38" w:rsidP="00D23F38">
    <w:pPr>
      <w:pStyle w:val="01AAMAddressfooter"/>
      <w:rPr>
        <w:lang w:val="de-DE"/>
      </w:rPr>
    </w:pPr>
    <w:r w:rsidRPr="00D23F38">
      <w:rPr>
        <w:lang w:val="de-DE"/>
      </w:rPr>
      <w:t xml:space="preserve">2b, </w:t>
    </w:r>
    <w:proofErr w:type="spellStart"/>
    <w:r w:rsidRPr="00D23F38">
      <w:rPr>
        <w:lang w:val="de-DE"/>
      </w:rPr>
      <w:t>rue</w:t>
    </w:r>
    <w:proofErr w:type="spellEnd"/>
    <w:r w:rsidRPr="00D23F38">
      <w:rPr>
        <w:lang w:val="de-DE"/>
      </w:rPr>
      <w:t xml:space="preserve"> Albert </w:t>
    </w:r>
    <w:proofErr w:type="spellStart"/>
    <w:r w:rsidRPr="00D23F38">
      <w:rPr>
        <w:lang w:val="de-DE"/>
      </w:rPr>
      <w:t>Borschette</w:t>
    </w:r>
    <w:proofErr w:type="spellEnd"/>
    <w:r w:rsidRPr="00D23F38">
      <w:rPr>
        <w:lang w:val="de-DE"/>
      </w:rPr>
      <w:t>, L-1246 Luxembourg</w:t>
    </w:r>
  </w:p>
  <w:p w:rsidR="00083292" w:rsidRDefault="00D23F38" w:rsidP="00D23F38">
    <w:pPr>
      <w:pStyle w:val="01AAMAddressfooter"/>
    </w:pPr>
    <w:r w:rsidRPr="00D23F38">
      <w:rPr>
        <w:lang w:val="de-DE"/>
      </w:rPr>
      <w:t>Tel: 00 352 2643 3000</w:t>
    </w:r>
    <w:r w:rsidR="00A012E2">
      <w:rPr>
        <w:lang w:val="de-DE"/>
      </w:rPr>
      <w:t xml:space="preserve"> </w:t>
    </w:r>
    <w:r w:rsidRPr="00D23F38">
      <w:rPr>
        <w:lang w:val="de-DE"/>
      </w:rPr>
      <w:t xml:space="preserve"> Fax: 00 352 2643 3097</w:t>
    </w:r>
    <w:r w:rsidR="00A012E2">
      <w:rPr>
        <w:lang w:val="de-DE"/>
      </w:rPr>
      <w:t xml:space="preserve"> </w:t>
    </w:r>
    <w:r w:rsidRPr="00D23F38">
      <w:rPr>
        <w:lang w:val="de-DE"/>
      </w:rPr>
      <w:t xml:space="preserve"> aberdeen-asset.com</w:t>
    </w:r>
  </w:p>
  <w:p w:rsidR="00D23F38" w:rsidRPr="00D23F38" w:rsidRDefault="00D23F38" w:rsidP="00D23F38">
    <w:pPr>
      <w:pStyle w:val="03Legalfooter"/>
    </w:pPr>
  </w:p>
  <w:p w:rsidR="00D23F38" w:rsidRPr="00D23F38" w:rsidRDefault="00D23F38" w:rsidP="00D23F38">
    <w:pPr>
      <w:pStyle w:val="03Legalfooter"/>
    </w:pPr>
    <w:r w:rsidRPr="00D23F38">
      <w:t xml:space="preserve">Authorised and regulated by the CSSF Luxembourg. </w:t>
    </w:r>
  </w:p>
  <w:p w:rsidR="00BC1C09" w:rsidRPr="00D23F38" w:rsidRDefault="00D23F38" w:rsidP="00D23F38">
    <w:pPr>
      <w:pStyle w:val="03Legalfooter"/>
    </w:pPr>
    <w:r w:rsidRPr="00A012E2">
      <w:rPr>
        <w:lang w:val="de-DE"/>
      </w:rPr>
      <w:t xml:space="preserve">Registered in Luxembourg No.B136363. </w:t>
    </w:r>
    <w:r w:rsidRPr="00D23F38">
      <w:t xml:space="preserve">Registered Office 2B, rue Albert </w:t>
    </w:r>
    <w:proofErr w:type="spellStart"/>
    <w:r w:rsidRPr="00D23F38">
      <w:t>Borschette</w:t>
    </w:r>
    <w:proofErr w:type="spellEnd"/>
    <w:r w:rsidRPr="00D23F38">
      <w:t>, L-1246 Luxembourg.</w:t>
    </w:r>
    <w:r w:rsidRPr="00D23F38">
      <w:rPr>
        <w:noProof/>
        <w:lang w:eastAsia="en-GB"/>
      </w:rPr>
      <mc:AlternateContent>
        <mc:Choice Requires="wps">
          <w:drawing>
            <wp:anchor distT="0" distB="0" distL="114300" distR="114300" simplePos="0" relativeHeight="251663360" behindDoc="0" locked="0" layoutInCell="1" allowOverlap="1" wp14:anchorId="726F731A" wp14:editId="389FB2CB">
              <wp:simplePos x="0" y="0"/>
              <wp:positionH relativeFrom="column">
                <wp:posOffset>5614670</wp:posOffset>
              </wp:positionH>
              <wp:positionV relativeFrom="page">
                <wp:posOffset>10344150</wp:posOffset>
              </wp:positionV>
              <wp:extent cx="500380" cy="104140"/>
              <wp:effectExtent l="0" t="0" r="13970" b="10160"/>
              <wp:wrapNone/>
              <wp:docPr id="2" name="Text Box 2"/>
              <wp:cNvGraphicFramePr/>
              <a:graphic xmlns:a="http://schemas.openxmlformats.org/drawingml/2006/main">
                <a:graphicData uri="http://schemas.microsoft.com/office/word/2010/wordprocessingShape">
                  <wps:wsp>
                    <wps:cNvSpPr txBox="1"/>
                    <wps:spPr>
                      <a:xfrm>
                        <a:off x="0" y="0"/>
                        <a:ext cx="500380" cy="104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1C09" w:rsidRPr="00D23F38" w:rsidRDefault="00D23F38" w:rsidP="00D23F38">
                          <w:pPr>
                            <w:pStyle w:val="04IDtext"/>
                          </w:pPr>
                          <w:r w:rsidRPr="00D23F38">
                            <w:t>14 6014_0513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1pt;margin-top:814.5pt;width:39.4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" filled="f" stroked="f" strokeweight=".5pt">
              <v:textbox inset="0,0,0,0">
                <w:txbxContent>
                  <w:p w:rsidR="00BC1C09" w:rsidRPr="00D23F38" w:rsidRDefault="00D23F38" w:rsidP="00D23F38">
                    <w:pPr>
                      <w:pStyle w:val="04IDtext"/>
                    </w:pPr>
                    <w:r w:rsidRPr="00D23F38">
                      <w:t>14 6014_0513</w:t>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86C" w:rsidRDefault="00D7086C">
      <w:r>
        <w:separator/>
      </w:r>
    </w:p>
  </w:footnote>
  <w:footnote w:type="continuationSeparator" w:id="0">
    <w:p w:rsidR="00D7086C" w:rsidRDefault="00D70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92" w:rsidRDefault="00083292"/>
  <w:p w:rsidR="00083292" w:rsidRDefault="00083292"/>
  <w:p w:rsidR="00083292" w:rsidRDefault="00083292"/>
  <w:p w:rsidR="00083292" w:rsidRDefault="000832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92" w:rsidRDefault="00D235C7">
    <w:r>
      <w:rPr>
        <w:noProof/>
      </w:rPr>
      <w:drawing>
        <wp:anchor distT="0" distB="0" distL="114300" distR="114300" simplePos="0" relativeHeight="251661312" behindDoc="0" locked="0" layoutInCell="1" allowOverlap="1" wp14:anchorId="3EBE2B54" wp14:editId="20910757">
          <wp:simplePos x="0" y="0"/>
          <wp:positionH relativeFrom="column">
            <wp:posOffset>4502150</wp:posOffset>
          </wp:positionH>
          <wp:positionV relativeFrom="paragraph">
            <wp:posOffset>-900224</wp:posOffset>
          </wp:positionV>
          <wp:extent cx="1617980" cy="316865"/>
          <wp:effectExtent l="0" t="0" r="127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deen Logo 2COL RGB resized.jpg"/>
                  <pic:cNvPicPr/>
                </pic:nvPicPr>
                <pic:blipFill>
                  <a:blip r:embed="rId1">
                    <a:extLst>
                      <a:ext uri="{28A0092B-C50C-407E-A947-70E740481C1C}">
                        <a14:useLocalDpi xmlns:a14="http://schemas.microsoft.com/office/drawing/2010/main" val="0"/>
                      </a:ext>
                    </a:extLst>
                  </a:blip>
                  <a:stretch>
                    <a:fillRect/>
                  </a:stretch>
                </pic:blipFill>
                <pic:spPr>
                  <a:xfrm>
                    <a:off x="0" y="0"/>
                    <a:ext cx="1617980" cy="316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A831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74422E8"/>
    <w:lvl w:ilvl="0">
      <w:start w:val="1"/>
      <w:numFmt w:val="decimal"/>
      <w:lvlText w:val="%1."/>
      <w:lvlJc w:val="left"/>
      <w:pPr>
        <w:tabs>
          <w:tab w:val="num" w:pos="1492"/>
        </w:tabs>
        <w:ind w:left="1492" w:hanging="360"/>
      </w:pPr>
    </w:lvl>
  </w:abstractNum>
  <w:abstractNum w:abstractNumId="2">
    <w:nsid w:val="FFFFFF7D"/>
    <w:multiLevelType w:val="singleLevel"/>
    <w:tmpl w:val="80B8725C"/>
    <w:lvl w:ilvl="0">
      <w:start w:val="1"/>
      <w:numFmt w:val="decimal"/>
      <w:lvlText w:val="%1."/>
      <w:lvlJc w:val="left"/>
      <w:pPr>
        <w:tabs>
          <w:tab w:val="num" w:pos="1209"/>
        </w:tabs>
        <w:ind w:left="1209" w:hanging="360"/>
      </w:pPr>
    </w:lvl>
  </w:abstractNum>
  <w:abstractNum w:abstractNumId="3">
    <w:nsid w:val="FFFFFF7E"/>
    <w:multiLevelType w:val="singleLevel"/>
    <w:tmpl w:val="041E4A90"/>
    <w:lvl w:ilvl="0">
      <w:start w:val="1"/>
      <w:numFmt w:val="decimal"/>
      <w:lvlText w:val="%1."/>
      <w:lvlJc w:val="left"/>
      <w:pPr>
        <w:tabs>
          <w:tab w:val="num" w:pos="926"/>
        </w:tabs>
        <w:ind w:left="926" w:hanging="360"/>
      </w:pPr>
    </w:lvl>
  </w:abstractNum>
  <w:abstractNum w:abstractNumId="4">
    <w:nsid w:val="FFFFFF7F"/>
    <w:multiLevelType w:val="singleLevel"/>
    <w:tmpl w:val="9EB04CC0"/>
    <w:lvl w:ilvl="0">
      <w:start w:val="1"/>
      <w:numFmt w:val="decimal"/>
      <w:lvlText w:val="%1."/>
      <w:lvlJc w:val="left"/>
      <w:pPr>
        <w:tabs>
          <w:tab w:val="num" w:pos="643"/>
        </w:tabs>
        <w:ind w:left="643" w:hanging="360"/>
      </w:pPr>
    </w:lvl>
  </w:abstractNum>
  <w:abstractNum w:abstractNumId="5">
    <w:nsid w:val="FFFFFF80"/>
    <w:multiLevelType w:val="singleLevel"/>
    <w:tmpl w:val="B5CC099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51275C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0DEA71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140191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8768A62"/>
    <w:lvl w:ilvl="0">
      <w:start w:val="1"/>
      <w:numFmt w:val="decimal"/>
      <w:lvlText w:val="%1."/>
      <w:lvlJc w:val="left"/>
      <w:pPr>
        <w:tabs>
          <w:tab w:val="num" w:pos="360"/>
        </w:tabs>
        <w:ind w:left="360" w:hanging="360"/>
      </w:pPr>
    </w:lvl>
  </w:abstractNum>
  <w:abstractNum w:abstractNumId="10">
    <w:nsid w:val="FFFFFF89"/>
    <w:multiLevelType w:val="singleLevel"/>
    <w:tmpl w:val="8118E696"/>
    <w:lvl w:ilvl="0">
      <w:start w:val="1"/>
      <w:numFmt w:val="bullet"/>
      <w:lvlText w:val=""/>
      <w:lvlJc w:val="left"/>
      <w:pPr>
        <w:tabs>
          <w:tab w:val="num" w:pos="360"/>
        </w:tabs>
        <w:ind w:left="360" w:hanging="360"/>
      </w:pPr>
      <w:rPr>
        <w:rFonts w:ascii="Symbol" w:hAnsi="Symbol" w:hint="default"/>
      </w:rPr>
    </w:lvl>
  </w:abstractNum>
  <w:abstractNum w:abstractNumId="11">
    <w:nsid w:val="61FC4BAE"/>
    <w:multiLevelType w:val="hybridMultilevel"/>
    <w:tmpl w:val="BAB2C56A"/>
    <w:lvl w:ilvl="0" w:tplc="8D1AAF2C">
      <w:start w:val="1"/>
      <w:numFmt w:val="upperLetter"/>
      <w:lvlText w:val="(%1)"/>
      <w:lvlJc w:val="left"/>
      <w:pPr>
        <w:ind w:left="465" w:hanging="40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742A474E"/>
    <w:multiLevelType w:val="hybridMultilevel"/>
    <w:tmpl w:val="3FC257E0"/>
    <w:lvl w:ilvl="0" w:tplc="ACBAE226">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7E"/>
    <w:rsid w:val="000167A6"/>
    <w:rsid w:val="00050EB3"/>
    <w:rsid w:val="00083292"/>
    <w:rsid w:val="000C78E0"/>
    <w:rsid w:val="000F05F9"/>
    <w:rsid w:val="001776DE"/>
    <w:rsid w:val="00192F10"/>
    <w:rsid w:val="00295A96"/>
    <w:rsid w:val="00300542"/>
    <w:rsid w:val="003218FB"/>
    <w:rsid w:val="00364088"/>
    <w:rsid w:val="003E239A"/>
    <w:rsid w:val="00424FFC"/>
    <w:rsid w:val="00434B0C"/>
    <w:rsid w:val="00446DDA"/>
    <w:rsid w:val="00481555"/>
    <w:rsid w:val="004E4B45"/>
    <w:rsid w:val="00533D7E"/>
    <w:rsid w:val="005553BA"/>
    <w:rsid w:val="00597F7F"/>
    <w:rsid w:val="006B5384"/>
    <w:rsid w:val="006C1318"/>
    <w:rsid w:val="00714DA7"/>
    <w:rsid w:val="007706B6"/>
    <w:rsid w:val="007A293C"/>
    <w:rsid w:val="00845B11"/>
    <w:rsid w:val="008635F3"/>
    <w:rsid w:val="00876837"/>
    <w:rsid w:val="008A1EAE"/>
    <w:rsid w:val="009A2282"/>
    <w:rsid w:val="009E3048"/>
    <w:rsid w:val="009F7FA6"/>
    <w:rsid w:val="00A012E2"/>
    <w:rsid w:val="00A422D7"/>
    <w:rsid w:val="00A7727E"/>
    <w:rsid w:val="00A95DA2"/>
    <w:rsid w:val="00B00134"/>
    <w:rsid w:val="00B12B72"/>
    <w:rsid w:val="00B35362"/>
    <w:rsid w:val="00B567B4"/>
    <w:rsid w:val="00BC1C09"/>
    <w:rsid w:val="00D061E8"/>
    <w:rsid w:val="00D235C7"/>
    <w:rsid w:val="00D23F38"/>
    <w:rsid w:val="00D40227"/>
    <w:rsid w:val="00D56F0D"/>
    <w:rsid w:val="00D7086C"/>
    <w:rsid w:val="00D85E11"/>
    <w:rsid w:val="00D917C6"/>
    <w:rsid w:val="00D96C14"/>
    <w:rsid w:val="00DE1A91"/>
    <w:rsid w:val="00E028D4"/>
    <w:rsid w:val="00E15A1C"/>
    <w:rsid w:val="00E25314"/>
    <w:rsid w:val="00F03DC2"/>
    <w:rsid w:val="00F3622F"/>
    <w:rsid w:val="00F37A99"/>
    <w:rsid w:val="00F74497"/>
    <w:rsid w:val="00F814D0"/>
    <w:rsid w:val="00FE1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rsid w:val="00083292"/>
    <w:rPr>
      <w:sz w:val="24"/>
    </w:rPr>
  </w:style>
  <w:style w:type="paragraph" w:styleId="Heading4">
    <w:name w:val="heading 4"/>
    <w:aliases w:val="h4"/>
    <w:basedOn w:val="Normal"/>
    <w:next w:val="Normal"/>
    <w:link w:val="Heading4Char"/>
    <w:qFormat/>
    <w:rsid w:val="00845B11"/>
    <w:pPr>
      <w:keepNext/>
      <w:widowControl w:val="0"/>
      <w:autoSpaceDE w:val="0"/>
      <w:autoSpaceDN w:val="0"/>
      <w:adjustRightInd w:val="0"/>
      <w:jc w:val="both"/>
      <w:outlineLvl w:val="3"/>
    </w:pPr>
    <w:rPr>
      <w:rFonts w:ascii="Times New Roman" w:eastAsia="Times New Roman" w:hAnsi="Times New Roman"/>
      <w:b/>
      <w:bCs/>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Mainbodytext">
    <w:name w:val="04 Main body text"/>
    <w:basedOn w:val="01AAMAddressfooter"/>
    <w:rsid w:val="00D40227"/>
    <w:rPr>
      <w:sz w:val="20"/>
    </w:rPr>
  </w:style>
  <w:style w:type="paragraph" w:customStyle="1" w:styleId="01AAMAddressfooter">
    <w:name w:val="01 AAM Address (footer)"/>
    <w:basedOn w:val="Normal"/>
    <w:qFormat/>
    <w:rsid w:val="00D40227"/>
    <w:pPr>
      <w:tabs>
        <w:tab w:val="left" w:pos="1720"/>
      </w:tabs>
      <w:autoSpaceDE w:val="0"/>
      <w:autoSpaceDN w:val="0"/>
      <w:adjustRightInd w:val="0"/>
      <w:spacing w:line="288" w:lineRule="auto"/>
    </w:pPr>
    <w:rPr>
      <w:rFonts w:ascii="Bliss Light" w:hAnsi="Bliss Light" w:cs="Bliss-Bold"/>
      <w:bCs/>
      <w:color w:val="000000"/>
      <w:spacing w:val="-2"/>
      <w:sz w:val="16"/>
      <w:szCs w:val="16"/>
      <w:lang w:eastAsia="en-US"/>
    </w:rPr>
  </w:style>
  <w:style w:type="paragraph" w:customStyle="1" w:styleId="03Legalfooter">
    <w:name w:val="03 Legal (footer)"/>
    <w:basedOn w:val="Normal"/>
    <w:rsid w:val="008A1EAE"/>
    <w:pPr>
      <w:widowControl w:val="0"/>
      <w:tabs>
        <w:tab w:val="left" w:pos="282"/>
      </w:tabs>
      <w:suppressAutoHyphens/>
      <w:autoSpaceDE w:val="0"/>
      <w:autoSpaceDN w:val="0"/>
      <w:adjustRightInd w:val="0"/>
      <w:spacing w:line="140" w:lineRule="atLeast"/>
      <w:textAlignment w:val="center"/>
    </w:pPr>
    <w:rPr>
      <w:rFonts w:ascii="Bliss Light" w:hAnsi="Bliss Light" w:cs="Bliss2-Light"/>
      <w:color w:val="000000"/>
      <w:spacing w:val="-1"/>
      <w:sz w:val="12"/>
      <w:szCs w:val="12"/>
      <w:lang w:eastAsia="en-US"/>
    </w:rPr>
  </w:style>
  <w:style w:type="paragraph" w:customStyle="1" w:styleId="02AAMCompanyfooter">
    <w:name w:val="02 AAM Company (footer)"/>
    <w:basedOn w:val="01AAMAddressfooter"/>
    <w:qFormat/>
    <w:rsid w:val="00D40227"/>
    <w:rPr>
      <w:b/>
    </w:rPr>
  </w:style>
  <w:style w:type="paragraph" w:styleId="Header">
    <w:name w:val="header"/>
    <w:basedOn w:val="Normal"/>
    <w:link w:val="HeaderChar"/>
    <w:rsid w:val="00A422D7"/>
    <w:pPr>
      <w:tabs>
        <w:tab w:val="center" w:pos="4513"/>
        <w:tab w:val="right" w:pos="9026"/>
      </w:tabs>
    </w:pPr>
  </w:style>
  <w:style w:type="character" w:customStyle="1" w:styleId="HeaderChar">
    <w:name w:val="Header Char"/>
    <w:basedOn w:val="DefaultParagraphFont"/>
    <w:link w:val="Header"/>
    <w:rsid w:val="00A422D7"/>
    <w:rPr>
      <w:sz w:val="24"/>
    </w:rPr>
  </w:style>
  <w:style w:type="paragraph" w:styleId="Footer">
    <w:name w:val="footer"/>
    <w:basedOn w:val="Normal"/>
    <w:link w:val="FooterChar"/>
    <w:rsid w:val="00A422D7"/>
    <w:pPr>
      <w:tabs>
        <w:tab w:val="center" w:pos="4513"/>
        <w:tab w:val="right" w:pos="9026"/>
      </w:tabs>
    </w:pPr>
  </w:style>
  <w:style w:type="character" w:customStyle="1" w:styleId="FooterChar">
    <w:name w:val="Footer Char"/>
    <w:basedOn w:val="DefaultParagraphFont"/>
    <w:link w:val="Footer"/>
    <w:rsid w:val="00A422D7"/>
    <w:rPr>
      <w:sz w:val="24"/>
    </w:rPr>
  </w:style>
  <w:style w:type="paragraph" w:customStyle="1" w:styleId="04IDtext">
    <w:name w:val="04 ID text"/>
    <w:basedOn w:val="04Mainbodytext"/>
    <w:rsid w:val="00A95DA2"/>
    <w:rPr>
      <w:color w:val="808080" w:themeColor="background1" w:themeShade="80"/>
      <w:sz w:val="12"/>
    </w:rPr>
  </w:style>
  <w:style w:type="paragraph" w:styleId="BalloonText">
    <w:name w:val="Balloon Text"/>
    <w:basedOn w:val="Normal"/>
    <w:link w:val="BalloonTextChar"/>
    <w:rsid w:val="00D235C7"/>
    <w:rPr>
      <w:rFonts w:ascii="Tahoma" w:hAnsi="Tahoma" w:cs="Tahoma"/>
      <w:sz w:val="16"/>
      <w:szCs w:val="16"/>
    </w:rPr>
  </w:style>
  <w:style w:type="character" w:customStyle="1" w:styleId="BalloonTextChar">
    <w:name w:val="Balloon Text Char"/>
    <w:basedOn w:val="DefaultParagraphFont"/>
    <w:link w:val="BalloonText"/>
    <w:rsid w:val="00D235C7"/>
    <w:rPr>
      <w:rFonts w:ascii="Tahoma" w:hAnsi="Tahoma" w:cs="Tahoma"/>
      <w:sz w:val="16"/>
      <w:szCs w:val="16"/>
    </w:rPr>
  </w:style>
  <w:style w:type="character" w:customStyle="1" w:styleId="Heading4Char">
    <w:name w:val="Heading 4 Char"/>
    <w:aliases w:val="h4 Char"/>
    <w:basedOn w:val="DefaultParagraphFont"/>
    <w:link w:val="Heading4"/>
    <w:rsid w:val="00845B11"/>
    <w:rPr>
      <w:rFonts w:ascii="Times New Roman" w:eastAsia="Times New Roman" w:hAnsi="Times New Roman"/>
      <w:b/>
      <w:bCs/>
      <w:sz w:val="22"/>
      <w:szCs w:val="22"/>
      <w:lang w:eastAsia="fr-FR"/>
    </w:rPr>
  </w:style>
  <w:style w:type="paragraph" w:styleId="BodyTextIndent">
    <w:name w:val="Body Text Indent"/>
    <w:aliases w:val="bti"/>
    <w:basedOn w:val="Normal"/>
    <w:link w:val="BodyTextIndentChar"/>
    <w:rsid w:val="00845B11"/>
    <w:pPr>
      <w:widowControl w:val="0"/>
      <w:autoSpaceDE w:val="0"/>
      <w:autoSpaceDN w:val="0"/>
      <w:adjustRightInd w:val="0"/>
      <w:ind w:left="567"/>
    </w:pPr>
    <w:rPr>
      <w:rFonts w:ascii="Times New Roman" w:eastAsia="Times New Roman" w:hAnsi="Times New Roman"/>
      <w:b/>
      <w:bCs/>
      <w:sz w:val="20"/>
      <w:lang w:eastAsia="fr-FR"/>
    </w:rPr>
  </w:style>
  <w:style w:type="character" w:customStyle="1" w:styleId="BodyTextIndentChar">
    <w:name w:val="Body Text Indent Char"/>
    <w:aliases w:val="bti Char"/>
    <w:basedOn w:val="DefaultParagraphFont"/>
    <w:link w:val="BodyTextIndent"/>
    <w:rsid w:val="00845B11"/>
    <w:rPr>
      <w:rFonts w:ascii="Times New Roman" w:eastAsia="Times New Roman" w:hAnsi="Times New Roman"/>
      <w:b/>
      <w:bCs/>
      <w:lang w:eastAsia="fr-FR"/>
    </w:rPr>
  </w:style>
  <w:style w:type="paragraph" w:styleId="BodyTextIndent2">
    <w:name w:val="Body Text Indent 2"/>
    <w:aliases w:val="bti2"/>
    <w:basedOn w:val="Normal"/>
    <w:link w:val="BodyTextIndent2Char"/>
    <w:rsid w:val="00845B11"/>
    <w:pPr>
      <w:widowControl w:val="0"/>
      <w:autoSpaceDE w:val="0"/>
      <w:autoSpaceDN w:val="0"/>
      <w:adjustRightInd w:val="0"/>
      <w:ind w:left="567"/>
    </w:pPr>
    <w:rPr>
      <w:rFonts w:ascii="Times New Roman" w:eastAsia="Times New Roman" w:hAnsi="Times New Roman"/>
      <w:i/>
      <w:iCs/>
      <w:sz w:val="20"/>
      <w:lang w:eastAsia="fr-FR"/>
    </w:rPr>
  </w:style>
  <w:style w:type="character" w:customStyle="1" w:styleId="BodyTextIndent2Char">
    <w:name w:val="Body Text Indent 2 Char"/>
    <w:aliases w:val="bti2 Char"/>
    <w:basedOn w:val="DefaultParagraphFont"/>
    <w:link w:val="BodyTextIndent2"/>
    <w:rsid w:val="00845B11"/>
    <w:rPr>
      <w:rFonts w:ascii="Times New Roman" w:eastAsia="Times New Roman" w:hAnsi="Times New Roman"/>
      <w:i/>
      <w:iCs/>
      <w:lang w:eastAsia="fr-FR"/>
    </w:rPr>
  </w:style>
  <w:style w:type="paragraph" w:customStyle="1" w:styleId="BodyText1">
    <w:name w:val="Body Text1"/>
    <w:rsid w:val="00845B11"/>
    <w:pPr>
      <w:jc w:val="both"/>
    </w:pPr>
    <w:rPr>
      <w:rFonts w:ascii="Times New Roman" w:eastAsia="Times New Roman" w:hAnsi="Times New Roman"/>
      <w:snapToGrid w:val="0"/>
      <w:color w:val="000000"/>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rsid w:val="00083292"/>
    <w:rPr>
      <w:sz w:val="24"/>
    </w:rPr>
  </w:style>
  <w:style w:type="paragraph" w:styleId="Heading4">
    <w:name w:val="heading 4"/>
    <w:aliases w:val="h4"/>
    <w:basedOn w:val="Normal"/>
    <w:next w:val="Normal"/>
    <w:link w:val="Heading4Char"/>
    <w:qFormat/>
    <w:rsid w:val="00845B11"/>
    <w:pPr>
      <w:keepNext/>
      <w:widowControl w:val="0"/>
      <w:autoSpaceDE w:val="0"/>
      <w:autoSpaceDN w:val="0"/>
      <w:adjustRightInd w:val="0"/>
      <w:jc w:val="both"/>
      <w:outlineLvl w:val="3"/>
    </w:pPr>
    <w:rPr>
      <w:rFonts w:ascii="Times New Roman" w:eastAsia="Times New Roman" w:hAnsi="Times New Roman"/>
      <w:b/>
      <w:bCs/>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Mainbodytext">
    <w:name w:val="04 Main body text"/>
    <w:basedOn w:val="01AAMAddressfooter"/>
    <w:rsid w:val="00D40227"/>
    <w:rPr>
      <w:sz w:val="20"/>
    </w:rPr>
  </w:style>
  <w:style w:type="paragraph" w:customStyle="1" w:styleId="01AAMAddressfooter">
    <w:name w:val="01 AAM Address (footer)"/>
    <w:basedOn w:val="Normal"/>
    <w:qFormat/>
    <w:rsid w:val="00D40227"/>
    <w:pPr>
      <w:tabs>
        <w:tab w:val="left" w:pos="1720"/>
      </w:tabs>
      <w:autoSpaceDE w:val="0"/>
      <w:autoSpaceDN w:val="0"/>
      <w:adjustRightInd w:val="0"/>
      <w:spacing w:line="288" w:lineRule="auto"/>
    </w:pPr>
    <w:rPr>
      <w:rFonts w:ascii="Bliss Light" w:hAnsi="Bliss Light" w:cs="Bliss-Bold"/>
      <w:bCs/>
      <w:color w:val="000000"/>
      <w:spacing w:val="-2"/>
      <w:sz w:val="16"/>
      <w:szCs w:val="16"/>
      <w:lang w:eastAsia="en-US"/>
    </w:rPr>
  </w:style>
  <w:style w:type="paragraph" w:customStyle="1" w:styleId="03Legalfooter">
    <w:name w:val="03 Legal (footer)"/>
    <w:basedOn w:val="Normal"/>
    <w:rsid w:val="008A1EAE"/>
    <w:pPr>
      <w:widowControl w:val="0"/>
      <w:tabs>
        <w:tab w:val="left" w:pos="282"/>
      </w:tabs>
      <w:suppressAutoHyphens/>
      <w:autoSpaceDE w:val="0"/>
      <w:autoSpaceDN w:val="0"/>
      <w:adjustRightInd w:val="0"/>
      <w:spacing w:line="140" w:lineRule="atLeast"/>
      <w:textAlignment w:val="center"/>
    </w:pPr>
    <w:rPr>
      <w:rFonts w:ascii="Bliss Light" w:hAnsi="Bliss Light" w:cs="Bliss2-Light"/>
      <w:color w:val="000000"/>
      <w:spacing w:val="-1"/>
      <w:sz w:val="12"/>
      <w:szCs w:val="12"/>
      <w:lang w:eastAsia="en-US"/>
    </w:rPr>
  </w:style>
  <w:style w:type="paragraph" w:customStyle="1" w:styleId="02AAMCompanyfooter">
    <w:name w:val="02 AAM Company (footer)"/>
    <w:basedOn w:val="01AAMAddressfooter"/>
    <w:qFormat/>
    <w:rsid w:val="00D40227"/>
    <w:rPr>
      <w:b/>
    </w:rPr>
  </w:style>
  <w:style w:type="paragraph" w:styleId="Header">
    <w:name w:val="header"/>
    <w:basedOn w:val="Normal"/>
    <w:link w:val="HeaderChar"/>
    <w:rsid w:val="00A422D7"/>
    <w:pPr>
      <w:tabs>
        <w:tab w:val="center" w:pos="4513"/>
        <w:tab w:val="right" w:pos="9026"/>
      </w:tabs>
    </w:pPr>
  </w:style>
  <w:style w:type="character" w:customStyle="1" w:styleId="HeaderChar">
    <w:name w:val="Header Char"/>
    <w:basedOn w:val="DefaultParagraphFont"/>
    <w:link w:val="Header"/>
    <w:rsid w:val="00A422D7"/>
    <w:rPr>
      <w:sz w:val="24"/>
    </w:rPr>
  </w:style>
  <w:style w:type="paragraph" w:styleId="Footer">
    <w:name w:val="footer"/>
    <w:basedOn w:val="Normal"/>
    <w:link w:val="FooterChar"/>
    <w:rsid w:val="00A422D7"/>
    <w:pPr>
      <w:tabs>
        <w:tab w:val="center" w:pos="4513"/>
        <w:tab w:val="right" w:pos="9026"/>
      </w:tabs>
    </w:pPr>
  </w:style>
  <w:style w:type="character" w:customStyle="1" w:styleId="FooterChar">
    <w:name w:val="Footer Char"/>
    <w:basedOn w:val="DefaultParagraphFont"/>
    <w:link w:val="Footer"/>
    <w:rsid w:val="00A422D7"/>
    <w:rPr>
      <w:sz w:val="24"/>
    </w:rPr>
  </w:style>
  <w:style w:type="paragraph" w:customStyle="1" w:styleId="04IDtext">
    <w:name w:val="04 ID text"/>
    <w:basedOn w:val="04Mainbodytext"/>
    <w:rsid w:val="00A95DA2"/>
    <w:rPr>
      <w:color w:val="808080" w:themeColor="background1" w:themeShade="80"/>
      <w:sz w:val="12"/>
    </w:rPr>
  </w:style>
  <w:style w:type="paragraph" w:styleId="BalloonText">
    <w:name w:val="Balloon Text"/>
    <w:basedOn w:val="Normal"/>
    <w:link w:val="BalloonTextChar"/>
    <w:rsid w:val="00D235C7"/>
    <w:rPr>
      <w:rFonts w:ascii="Tahoma" w:hAnsi="Tahoma" w:cs="Tahoma"/>
      <w:sz w:val="16"/>
      <w:szCs w:val="16"/>
    </w:rPr>
  </w:style>
  <w:style w:type="character" w:customStyle="1" w:styleId="BalloonTextChar">
    <w:name w:val="Balloon Text Char"/>
    <w:basedOn w:val="DefaultParagraphFont"/>
    <w:link w:val="BalloonText"/>
    <w:rsid w:val="00D235C7"/>
    <w:rPr>
      <w:rFonts w:ascii="Tahoma" w:hAnsi="Tahoma" w:cs="Tahoma"/>
      <w:sz w:val="16"/>
      <w:szCs w:val="16"/>
    </w:rPr>
  </w:style>
  <w:style w:type="character" w:customStyle="1" w:styleId="Heading4Char">
    <w:name w:val="Heading 4 Char"/>
    <w:aliases w:val="h4 Char"/>
    <w:basedOn w:val="DefaultParagraphFont"/>
    <w:link w:val="Heading4"/>
    <w:rsid w:val="00845B11"/>
    <w:rPr>
      <w:rFonts w:ascii="Times New Roman" w:eastAsia="Times New Roman" w:hAnsi="Times New Roman"/>
      <w:b/>
      <w:bCs/>
      <w:sz w:val="22"/>
      <w:szCs w:val="22"/>
      <w:lang w:eastAsia="fr-FR"/>
    </w:rPr>
  </w:style>
  <w:style w:type="paragraph" w:styleId="BodyTextIndent">
    <w:name w:val="Body Text Indent"/>
    <w:aliases w:val="bti"/>
    <w:basedOn w:val="Normal"/>
    <w:link w:val="BodyTextIndentChar"/>
    <w:rsid w:val="00845B11"/>
    <w:pPr>
      <w:widowControl w:val="0"/>
      <w:autoSpaceDE w:val="0"/>
      <w:autoSpaceDN w:val="0"/>
      <w:adjustRightInd w:val="0"/>
      <w:ind w:left="567"/>
    </w:pPr>
    <w:rPr>
      <w:rFonts w:ascii="Times New Roman" w:eastAsia="Times New Roman" w:hAnsi="Times New Roman"/>
      <w:b/>
      <w:bCs/>
      <w:sz w:val="20"/>
      <w:lang w:eastAsia="fr-FR"/>
    </w:rPr>
  </w:style>
  <w:style w:type="character" w:customStyle="1" w:styleId="BodyTextIndentChar">
    <w:name w:val="Body Text Indent Char"/>
    <w:aliases w:val="bti Char"/>
    <w:basedOn w:val="DefaultParagraphFont"/>
    <w:link w:val="BodyTextIndent"/>
    <w:rsid w:val="00845B11"/>
    <w:rPr>
      <w:rFonts w:ascii="Times New Roman" w:eastAsia="Times New Roman" w:hAnsi="Times New Roman"/>
      <w:b/>
      <w:bCs/>
      <w:lang w:eastAsia="fr-FR"/>
    </w:rPr>
  </w:style>
  <w:style w:type="paragraph" w:styleId="BodyTextIndent2">
    <w:name w:val="Body Text Indent 2"/>
    <w:aliases w:val="bti2"/>
    <w:basedOn w:val="Normal"/>
    <w:link w:val="BodyTextIndent2Char"/>
    <w:rsid w:val="00845B11"/>
    <w:pPr>
      <w:widowControl w:val="0"/>
      <w:autoSpaceDE w:val="0"/>
      <w:autoSpaceDN w:val="0"/>
      <w:adjustRightInd w:val="0"/>
      <w:ind w:left="567"/>
    </w:pPr>
    <w:rPr>
      <w:rFonts w:ascii="Times New Roman" w:eastAsia="Times New Roman" w:hAnsi="Times New Roman"/>
      <w:i/>
      <w:iCs/>
      <w:sz w:val="20"/>
      <w:lang w:eastAsia="fr-FR"/>
    </w:rPr>
  </w:style>
  <w:style w:type="character" w:customStyle="1" w:styleId="BodyTextIndent2Char">
    <w:name w:val="Body Text Indent 2 Char"/>
    <w:aliases w:val="bti2 Char"/>
    <w:basedOn w:val="DefaultParagraphFont"/>
    <w:link w:val="BodyTextIndent2"/>
    <w:rsid w:val="00845B11"/>
    <w:rPr>
      <w:rFonts w:ascii="Times New Roman" w:eastAsia="Times New Roman" w:hAnsi="Times New Roman"/>
      <w:i/>
      <w:iCs/>
      <w:lang w:eastAsia="fr-FR"/>
    </w:rPr>
  </w:style>
  <w:style w:type="paragraph" w:customStyle="1" w:styleId="BodyText1">
    <w:name w:val="Body Text1"/>
    <w:rsid w:val="00845B11"/>
    <w:pPr>
      <w:jc w:val="both"/>
    </w:pPr>
    <w:rPr>
      <w:rFonts w:ascii="Times New Roman" w:eastAsia="Times New Roman" w:hAnsi="Times New Roman"/>
      <w:snapToGrid w:val="0"/>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png@01CEE13D.1C4CE8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A530-9A4E-4248-8E2B-2CDA1804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1625</Words>
  <Characters>8512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Body text here</vt:lpstr>
    </vt:vector>
  </TitlesOfParts>
  <Company>Aberdeen Asset Management</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text here</dc:title>
  <dc:creator>Aberdeen Asset Management</dc:creator>
  <cp:lastModifiedBy>Citrix Admin</cp:lastModifiedBy>
  <cp:revision>10</cp:revision>
  <cp:lastPrinted>2013-05-02T09:05:00Z</cp:lastPrinted>
  <dcterms:created xsi:type="dcterms:W3CDTF">2015-01-21T15:50:00Z</dcterms:created>
  <dcterms:modified xsi:type="dcterms:W3CDTF">2015-01-26T13:51:00Z</dcterms:modified>
</cp:coreProperties>
</file>